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Pandoc</w:t>
      </w:r>
      <w:r>
        <w:t xml:space="preserve"> </w:t>
      </w:r>
      <w:r>
        <w:t xml:space="preserve">Essay</w:t>
      </w:r>
      <w:r>
        <w:t xml:space="preserve"> </w:t>
      </w:r>
      <w:r>
        <w:t xml:space="preserve">on</w:t>
      </w:r>
      <w:r>
        <w:t xml:space="preserve"> </w:t>
      </w:r>
      <w:r>
        <w:t xml:space="preserve">Pantheism</w:t>
      </w:r>
    </w:p>
    <w:p>
      <w:pPr>
        <w:pStyle w:val="FirstParagraph"/>
      </w:pPr>
      <w:r>
        <w:t xml:space="preserve">This is the introduction of the essay.</w:t>
      </w:r>
      <w:r>
        <w:rPr>
          <w:rStyle w:val="FootnoteReference"/>
        </w:rPr>
        <w:footnoteReference w:id="20"/>
      </w:r>
      <w:r>
        <w:t xml:space="preserve"> </w:t>
      </w:r>
      <w:r>
        <w:t xml:space="preserve">In this essay, in the voice of Indiana Jones, I will attempt to</w:t>
      </w:r>
      <w:r>
        <w:t xml:space="preserve"> </w:t>
      </w:r>
      <w:r>
        <w:t xml:space="preserve">say smart things about Djuna Barnes’s 1936 novel</w:t>
      </w:r>
      <w:r>
        <w:t xml:space="preserve"> </w:t>
      </w:r>
      <w:r>
        <w:rPr>
          <w:i/>
        </w:rPr>
        <w:t xml:space="preserve">Nightwood</w:t>
      </w:r>
      <w:r>
        <w:t xml:space="preserve"> </w:t>
      </w:r>
      <w:r>
        <w:t xml:space="preserve">(Barnes</w:t>
      </w:r>
      <w:r>
        <w:t xml:space="preserve"> </w:t>
      </w:r>
      <w:hyperlink w:anchor="ref-nightwood">
        <w:r>
          <w:rPr>
            <w:rStyle w:val="Hyperlink"/>
          </w:rPr>
          <w:t xml:space="preserve">1936</w:t>
        </w:r>
      </w:hyperlink>
      <w:r>
        <w:t xml:space="preserve">)</w:t>
      </w:r>
      <w:r>
        <w:t xml:space="preserve">.</w:t>
      </w:r>
      <w:r>
        <w:t xml:space="preserve"> </w:t>
      </w:r>
      <w:r>
        <w:t xml:space="preserve">I’ve chosen that novel just because it’s what’s on my mind at the moment that</w:t>
      </w:r>
      <w:r>
        <w:t xml:space="preserve"> </w:t>
      </w:r>
      <w:r>
        <w:t xml:space="preserve">I am writing this boilerplate text and have not yet decided to move ahead to</w:t>
      </w:r>
      <w:r>
        <w:t xml:space="preserve"> </w:t>
      </w:r>
      <w:r>
        <w:t xml:space="preserve">the lorem ipsum text.</w:t>
      </w:r>
    </w:p>
    <w:p>
      <w:pPr>
        <w:pStyle w:val="BodyText"/>
      </w:pPr>
      <w:r>
        <w:t xml:space="preserve">You’ll notice a footnote above. In the markdown, I wrote:</w:t>
      </w:r>
      <w:r>
        <w:t xml:space="preserve"> </w:t>
      </w:r>
      <w:r>
        <w:rPr>
          <w:rStyle w:val="VerbatimChar"/>
        </w:rPr>
        <w:t xml:space="preserve">^[It’s important to put many jokes in footnotes.]</w:t>
      </w:r>
      <w:r>
        <w:t xml:space="preserve"> </w:t>
      </w:r>
      <w:r>
        <w:t xml:space="preserve">there. Anyway, back to</w:t>
      </w:r>
      <w:r>
        <w:t xml:space="preserve"> </w:t>
      </w:r>
      <w:r>
        <w:rPr>
          <w:i/>
        </w:rPr>
        <w:t xml:space="preserve">Nightwood</w:t>
      </w:r>
      <w:r>
        <w:t xml:space="preserve">. Looking at</w:t>
      </w:r>
      <w:r>
        <w:t xml:space="preserve"> </w:t>
      </w:r>
      <w:r>
        <w:t xml:space="preserve">the 1995 edition of the text, edited by Cheryl J. Plumb, we note that the</w:t>
      </w:r>
      <w:r>
        <w:t xml:space="preserve"> </w:t>
      </w:r>
      <w:r>
        <w:t xml:space="preserve">narrator refers to Guido Volkbein as</w:t>
      </w:r>
      <w:r>
        <w:t xml:space="preserve"> </w:t>
      </w:r>
      <w:r>
        <w:t xml:space="preserve">“</w:t>
      </w:r>
      <w:r>
        <w:t xml:space="preserve">both a gourmet and a dandy, never</w:t>
      </w:r>
      <w:r>
        <w:t xml:space="preserve"> </w:t>
      </w:r>
      <w:r>
        <w:t xml:space="preserve">appearing in public without the ribbon of some quite unknown distinction</w:t>
      </w:r>
      <w:r>
        <w:t xml:space="preserve"> </w:t>
      </w:r>
      <w:r>
        <w:t xml:space="preserve">tinging his buttonhole with a faint thread</w:t>
      </w:r>
      <w:r>
        <w:t xml:space="preserve">”</w:t>
      </w:r>
      <w:r>
        <w:t xml:space="preserve"> </w:t>
      </w:r>
      <w:r>
        <w:t xml:space="preserve">(Barnes</w:t>
      </w:r>
      <w:r>
        <w:t xml:space="preserve"> </w:t>
      </w:r>
      <w:hyperlink w:anchor="ref-barnes_nightwood_1995">
        <w:r>
          <w:rPr>
            <w:rStyle w:val="Hyperlink"/>
          </w:rPr>
          <w:t xml:space="preserve">1995</w:t>
        </w:r>
      </w:hyperlink>
      <w:r>
        <w:t xml:space="preserve">, 3)</w:t>
      </w:r>
      <w:r>
        <w:t xml:space="preserve">.</w:t>
      </w:r>
    </w:p>
    <w:p>
      <w:pPr>
        <w:pStyle w:val="BodyText"/>
      </w:pPr>
      <w:r>
        <w:t xml:space="preserve">Lorem ipsum dolor sit amet, consectetur adipiscing elit. Curabitur finibus arcu id nulla feugiat, a hendrerit massa molestie. Curabitur tincidunt nulla sed eros tempus sollicitudin. Pellentesque sit amet nunc ut ante eleifend elementum. Class aptent taciti sociosqu ad litora torquent per conubia nostra, per inceptos himenaeos. Curabitur blandit odio nec nisl placerat aliquet. Nullam vel lobortis est, a rhoncus enim. Nunc eget vestibulum magna. Proin bibendum viverra pretium. Nulla euismod purus ex, vel vestibulum dui condimentum sed. Praesent semper vulputate turpis id elementum. Phasellus nec augue varius, eleifend justo id, iaculis massa. Sed ut quam ut turpis condimentum vestibulum in et neque.</w:t>
      </w:r>
    </w:p>
    <w:p>
      <w:pPr>
        <w:pStyle w:val="BodyText"/>
      </w:pPr>
      <w:r>
        <w:t xml:space="preserve">In est turpis, venenatis eu ultricies sed, elementum vitae enim. Orci varius natoque penatibus et magnis dis parturient montes, nascetur ridiculus mus. Morbi porta nibh mauris, at feugiat orci consectetur nec. Maecenas dapibus diam et erat convallis, ac rhoncus elit lobortis. Proin eros mi, iaculis convallis consectetur nec, fermentum sit amet orci. Morbi vitae aliquam risus. Duis enim felis, facilisis a odio eu, dapibus porttitor tortor. Integer eget odio molestie risus porta mattis nec id neque.</w:t>
      </w:r>
    </w:p>
    <w:p>
      <w:pPr>
        <w:pStyle w:val="Heading1"/>
      </w:pPr>
      <w:bookmarkStart w:id="21" w:name="this-is-section-one"/>
      <w:r>
        <w:t xml:space="preserve">This is section one</w:t>
      </w:r>
      <w:bookmarkEnd w:id="21"/>
    </w:p>
    <w:p>
      <w:pPr>
        <w:pStyle w:val="FirstParagraph"/>
      </w:pPr>
      <w:r>
        <w:t xml:space="preserve">Duis posuere orci viverra, ullamcorper ante vel, placerat neque. Vestibulum vel ligula eu nibh porttitor volutpat. Quisque mollis libero at semper dignissim. Mauris dapibus lobortis tellus, a iaculis velit. Sed auctor ante vel orci tincidunt posuere. Donec volutpat nunc vel convallis tempor. Pellentesque vulputate interdum risus, sit amet faucibus lacus efficitur eu.</w:t>
      </w:r>
    </w:p>
    <w:p>
      <w:pPr>
        <w:pStyle w:val="BodyText"/>
      </w:pPr>
      <w:r>
        <w:t xml:space="preserve">In dolor risus, pharetra non pretium sed, hendrerit non sapien. Duis iaculis quam in ante bibendum pellentesque. Aliquam semper pretium metus non mollis. Praesent condimentum felis ut laoreet bibendum. Sed convallis erat tellus, eu pellentesque nulla aliquam vitae. Donec commodo commodo diam. Phasellus in tortor id leo volutpat porta. Nam fermentum nisi ac nisl mattis, in blandit nibh venenatis. Vestibulum congue sit amet ipsum quis vehicula. Proin eleifend et lectus in viverra. Donec ornare est justo, in facilisis odio fermentum ut. In laoreet efficitur est at molestie. Donec suscipit mauris sit amet posuere tincidunt. Vestibulum semper in diam eu iaculis. Donec facilisis est et augue congue laoreet. Ut nec elit sed arcu lacinia eleifend sit amet quis ligula.</w:t>
      </w:r>
    </w:p>
    <w:p>
      <w:pPr>
        <w:pStyle w:val="BodyText"/>
      </w:pPr>
      <w:r>
        <w:t xml:space="preserve">Morbi turpis arcu, convallis sed elit a, congue elementum magna. Sed condimentum sit amet erat ut fermentum. Nulla vel ante a dui dictum auctor at ullamcorper metus. Morbi in commodo massa. Quisque volutpat sapien non accumsan venenatis. Duis at sapien eget libero vulputate venenatis in non eros. Aenean non justo sit amet felis aliquet efficitur ac in erat. Fusce fermentum, tellus quis posuere tempor, nunc nibh auctor tellus, sed hendrerit erat sapien ultricies velit. Vivamus a ligula sit amet dui posuere ultricies. Class aptent taciti sociosqu ad litora torquent per conubia nostra, per inceptos himenaeos. Vivamus tristique vehicula sodales. Morbi aliquam hendrerit ligula sed efficitur. Suspendisse quis tincidunt ligula. In hac habitasse platea dictumst. Pellentesque ut tincidunt enim.</w:t>
      </w:r>
    </w:p>
    <w:p>
      <w:pPr>
        <w:pStyle w:val="BodyText"/>
      </w:pPr>
      <w:r>
        <w:t xml:space="preserve">And now it’s time for a very long story…</w:t>
      </w:r>
    </w:p>
    <w:p>
      <w:pPr>
        <w:pStyle w:val="BodyText"/>
      </w:pPr>
      <w:r>
        <w:t xml:space="preserve">Etiam ut ante consectetur, blandit ligula at, pharetra massa. Sed quis elit ut ante congue porttitor. Sed ullamcorper non purus sit amet faucibus. Mauris mi nunc, feugiat vitae cursus lacinia, vulputate id arcu. Nam pellentesque velit non venenatis porttitor. Aenean varius sem a leo accumsan, sed laoreet quam tempor. Aliquam aliquet condimentum pellentesque. Etiam iaculis purus nec auctor consequat. Phasellus et fermentum justo. Nunc ornare congue mi, luctus suscipit massa. Curabitur viverra orci sit amet sapien eleifend sodales. Mauris semper mi sit amet lacinia elementum. Orci varius natoque penatibus et magnis dis parturient montes, nascetur ridiculus mus. Etiam ante velit, tincidunt vitae eleifend a, bibendum nec mauris. Quisque at efficitur lectus.</w:t>
      </w:r>
    </w:p>
    <w:p>
      <w:pPr>
        <w:pStyle w:val="BodyText"/>
      </w:pPr>
      <w:r>
        <w:t xml:space="preserve">Morbi sit amet ultricies ipsum. Vestibulum semper ante maximus risus fermentum, et iaculis diam imperdiet. Aenean dui arcu, varius et dui eget, feugiat bibendum nisl. Nulla augue nibh, sodales sit amet ultricies quis, sollicitudin egestas lectus. Maecenas turpis sem, porttitor eu dictum eget, imperdiet ac risus. Sed laoreet, elit vitae tincidunt ultrices, dolor est sollicitudin.</w:t>
      </w:r>
    </w:p>
    <w:p>
      <w:pPr>
        <w:pStyle w:val="BodyText"/>
      </w:pPr>
      <w:r>
        <w:t xml:space="preserve">It was important to remember that, during this battle, the sides were hardly</w:t>
      </w:r>
      <w:r>
        <w:t xml:space="preserve"> </w:t>
      </w:r>
      <w:r>
        <w:t xml:space="preserve">evenly matched.</w:t>
      </w:r>
      <w:r>
        <w:rPr>
          <w:rStyle w:val="FootnoteReference"/>
        </w:rPr>
        <w:footnoteReference w:id="22"/>
      </w:r>
      <w:r>
        <w:t xml:space="preserve"> </w:t>
      </w:r>
      <w:r>
        <w:t xml:space="preserve">Nevertheless, the battle started precisely at</w:t>
      </w:r>
      <w:r>
        <w:t xml:space="preserve"> </w:t>
      </w:r>
      <w:r>
        <w:t xml:space="preserve">noon.</w:t>
      </w:r>
    </w:p>
    <w:bookmarkStart w:id="34" w:name="refs"/>
    <w:bookmarkStart w:id="23" w:name="ref-nightwood"/>
    <w:p>
      <w:pPr>
        <w:pStyle w:val="Bibliography"/>
      </w:pPr>
      <w:r>
        <w:t xml:space="preserve">Barnes, Djuna. 1936.</w:t>
      </w:r>
      <w:r>
        <w:t xml:space="preserve"> </w:t>
      </w:r>
      <w:r>
        <w:rPr>
          <w:i/>
        </w:rPr>
        <w:t xml:space="preserve">Nightwood</w:t>
      </w:r>
      <w:r>
        <w:t xml:space="preserve">. New York: New Directions.</w:t>
      </w:r>
    </w:p>
    <w:bookmarkEnd w:id="23"/>
    <w:bookmarkStart w:id="24" w:name="ref-barnes_nightwood_1995"/>
    <w:p>
      <w:pPr>
        <w:pStyle w:val="Bibliography"/>
      </w:pPr>
      <w:r>
        <w:t xml:space="preserve">———. 1995.</w:t>
      </w:r>
      <w:r>
        <w:t xml:space="preserve"> </w:t>
      </w:r>
      <w:r>
        <w:rPr>
          <w:i/>
        </w:rPr>
        <w:t xml:space="preserve">Nightwood: The Original Version and Related Drafts</w:t>
      </w:r>
      <w:r>
        <w:t xml:space="preserve">. Edited by Cheryl J. Plumb. Normal, IL: Dalkey Archive Press.</w:t>
      </w:r>
    </w:p>
    <w:bookmarkEnd w:id="24"/>
    <w:bookmarkStart w:id="26" w:name="ref-fama_melancholic_2014"/>
    <w:p>
      <w:pPr>
        <w:pStyle w:val="Bibliography"/>
      </w:pPr>
      <w:r>
        <w:t xml:space="preserve">Fama, Katherine A. 2014. “Melancholic Remedies: Djuna Barnes’s</w:t>
      </w:r>
      <w:r>
        <w:t xml:space="preserve"> </w:t>
      </w:r>
      <w:r>
        <w:rPr>
          <w:i/>
        </w:rPr>
        <w:t xml:space="preserve">Nightwood</w:t>
      </w:r>
      <w:r>
        <w:t xml:space="preserve"> </w:t>
      </w:r>
      <w:r>
        <w:t xml:space="preserve">as Narrative Theory.”</w:t>
      </w:r>
      <w:r>
        <w:t xml:space="preserve"> </w:t>
      </w:r>
      <w:r>
        <w:rPr>
          <w:i/>
        </w:rPr>
        <w:t xml:space="preserve">Journal of Modern Literature</w:t>
      </w:r>
      <w:r>
        <w:t xml:space="preserve"> </w:t>
      </w:r>
      <w:r>
        <w:t xml:space="preserve">37 (2): 39–58.</w:t>
      </w:r>
      <w:r>
        <w:t xml:space="preserve"> </w:t>
      </w:r>
      <w:hyperlink r:id="rId25">
        <w:r>
          <w:rPr>
            <w:rStyle w:val="Hyperlink"/>
          </w:rPr>
          <w:t xml:space="preserve">https://doi.org/10.2979/jmodelite.37.2.39</w:t>
        </w:r>
      </w:hyperlink>
      <w:r>
        <w:t xml:space="preserve">.</w:t>
      </w:r>
    </w:p>
    <w:bookmarkEnd w:id="26"/>
    <w:bookmarkStart w:id="28" w:name="ref-glavey_dazzling_2009"/>
    <w:p>
      <w:pPr>
        <w:pStyle w:val="Bibliography"/>
      </w:pPr>
      <w:r>
        <w:t xml:space="preserve">Glavey, Brian. 2009. “Dazzling Estrangement: Modernism, Queer Ekphrasis, and the Spatial Form of</w:t>
      </w:r>
      <w:r>
        <w:t xml:space="preserve"> </w:t>
      </w:r>
      <w:r>
        <w:rPr>
          <w:i/>
        </w:rPr>
        <w:t xml:space="preserve">Nightwood</w:t>
      </w:r>
      <w:r>
        <w:t xml:space="preserve">.”</w:t>
      </w:r>
      <w:r>
        <w:t xml:space="preserve"> </w:t>
      </w:r>
      <w:r>
        <w:rPr>
          <w:i/>
        </w:rPr>
        <w:t xml:space="preserve">PMLA</w:t>
      </w:r>
      <w:r>
        <w:t xml:space="preserve"> </w:t>
      </w:r>
      <w:r>
        <w:t xml:space="preserve">124 (3): 749–63.</w:t>
      </w:r>
      <w:r>
        <w:t xml:space="preserve"> </w:t>
      </w:r>
      <w:hyperlink r:id="rId27">
        <w:r>
          <w:rPr>
            <w:rStyle w:val="Hyperlink"/>
          </w:rPr>
          <w:t xml:space="preserve">https://www.jstor.org/stable/25614321</w:t>
        </w:r>
      </w:hyperlink>
      <w:r>
        <w:t xml:space="preserve">.</w:t>
      </w:r>
    </w:p>
    <w:bookmarkEnd w:id="28"/>
    <w:bookmarkStart w:id="30" w:name="ref-de_lauretis_nightwood_2008"/>
    <w:p>
      <w:pPr>
        <w:pStyle w:val="Bibliography"/>
      </w:pPr>
      <w:r>
        <w:t xml:space="preserve">Lauretis, Teresa de. 2008. “Nightwood and the ‘Terror of Uncertain Signs’.”</w:t>
      </w:r>
      <w:r>
        <w:t xml:space="preserve"> </w:t>
      </w:r>
      <w:r>
        <w:rPr>
          <w:i/>
        </w:rPr>
        <w:t xml:space="preserve">Critical Inquiry</w:t>
      </w:r>
      <w:r>
        <w:t xml:space="preserve"> </w:t>
      </w:r>
      <w:r>
        <w:t xml:space="preserve">34 (S2): S117–S129.</w:t>
      </w:r>
      <w:r>
        <w:t xml:space="preserve"> </w:t>
      </w:r>
      <w:hyperlink r:id="rId29">
        <w:r>
          <w:rPr>
            <w:rStyle w:val="Hyperlink"/>
          </w:rPr>
          <w:t xml:space="preserve">https://doi.org/10.1086/529092</w:t>
        </w:r>
      </w:hyperlink>
      <w:r>
        <w:t xml:space="preserve">.</w:t>
      </w:r>
    </w:p>
    <w:bookmarkEnd w:id="30"/>
    <w:bookmarkStart w:id="32" w:name="ref-wallace_mkbibquotemy_2016"/>
    <w:p>
      <w:pPr>
        <w:pStyle w:val="Bibliography"/>
      </w:pPr>
      <w:r>
        <w:t xml:space="preserve">Wallace, Laura K. 2016. “‘My History, Finally Invented’:</w:t>
      </w:r>
      <w:r>
        <w:t xml:space="preserve"> </w:t>
      </w:r>
      <w:r>
        <w:rPr>
          <w:i/>
        </w:rPr>
        <w:t xml:space="preserve">Nightwood</w:t>
      </w:r>
      <w:r>
        <w:t xml:space="preserve"> </w:t>
      </w:r>
      <w:r>
        <w:t xml:space="preserve">and Its Publics.”</w:t>
      </w:r>
      <w:r>
        <w:t xml:space="preserve"> </w:t>
      </w:r>
      <w:r>
        <w:rPr>
          <w:i/>
        </w:rPr>
        <w:t xml:space="preserve">QED: A Journal in GLBTQ Worldmaking</w:t>
      </w:r>
      <w:r>
        <w:t xml:space="preserve"> </w:t>
      </w:r>
      <w:r>
        <w:t xml:space="preserve">3 (3): 71–94.</w:t>
      </w:r>
      <w:r>
        <w:t xml:space="preserve"> </w:t>
      </w:r>
      <w:hyperlink r:id="rId31">
        <w:r>
          <w:rPr>
            <w:rStyle w:val="Hyperlink"/>
          </w:rPr>
          <w:t xml:space="preserve">https://muse.jhu.edu/article/647658</w:t>
        </w:r>
      </w:hyperlink>
      <w:r>
        <w:t xml:space="preserve">.</w:t>
      </w:r>
    </w:p>
    <w:bookmarkEnd w:id="32"/>
    <w:bookmarkStart w:id="33" w:name="ref-wells-cartographie"/>
    <w:p>
      <w:pPr>
        <w:pStyle w:val="Bibliography"/>
      </w:pPr>
      <w:r>
        <w:t xml:space="preserve">Wells, Amy D. 2013. “La cartographie comme outil d’analyse litteraire : des cartes metaphoriques aux cartes SIG.” In</w:t>
      </w:r>
      <w:r>
        <w:t xml:space="preserve"> </w:t>
      </w:r>
      <w:r>
        <w:rPr>
          <w:i/>
        </w:rPr>
        <w:t xml:space="preserve">Geographie Poetique et Cartographie Litteraire</w:t>
      </w:r>
      <w:r>
        <w:t xml:space="preserve">, edited by Véronique Maleval, Marion Picker, and Florent Gabaude, 169–86. Limoges: Presses Universitaires de Limoges et du Limousin.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It’s important to put many jokes in</w:t>
      </w:r>
      <w:r>
        <w:t xml:space="preserve"> </w:t>
      </w:r>
      <w:r>
        <w:t xml:space="preserve">footnotes.</w:t>
      </w:r>
    </w:p>
  </w:footnote>
  <w:footnote w:id="22">
    <w:p>
      <w:pPr>
        <w:pStyle w:val="FootnoteText"/>
      </w:pPr>
      <w:r>
        <w:rPr>
          <w:rStyle w:val="FootnoteReference"/>
        </w:rPr>
        <w:footnoteRef/>
      </w:r>
      <w:r>
        <w:t xml:space="preserve"> </w:t>
      </w:r>
      <w:r>
        <w:t xml:space="preserve">In fact, contemporary sources posit that one side had nearly</w:t>
      </w:r>
      <w:r>
        <w:t xml:space="preserve"> </w:t>
      </w:r>
      <w:r>
        <w:t xml:space="preserve">ten times as many soldiers.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Pandoc Essay on Pantheism</dc:title>
  <dc:creator/>
  <cp:keywords/>
  <dcterms:created xsi:type="dcterms:W3CDTF">2019-02-20T17:57:59Z</dcterms:created>
  <dcterms:modified xsi:type="dcterms:W3CDTF">2019-02-20T17:57:59Z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pigraph">
    <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