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66" w:lineRule="auto"/>
        <w:ind w:left="1440" w:right="9120" w:firstLine="0"/>
        <w:jc w:val="both"/>
        <w:rPr>
          <w:rFonts w:ascii="Times New Roman" w:cs="Times New Roman" w:eastAsia="Times New Roman" w:hAnsi="Times New Roman"/>
          <w:sz w:val="32"/>
          <w:szCs w:val="3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page">
                  <wp:posOffset>-4761</wp:posOffset>
                </wp:positionV>
                <wp:extent cx="9525" cy="9525"/>
                <wp:effectExtent b="0" l="0" r="0" t="0"/>
                <wp:wrapSquare wrapText="bothSides" distB="0" distT="0" distL="114300" distR="114300"/>
                <wp:docPr id="1" name=""/>
                <a:graphic>
                  <a:graphicData uri="http://schemas.microsoft.com/office/word/2010/wordprocessingGroup">
                    <wpg:wgp>
                      <wpg:cNvGrpSpPr/>
                      <wpg:grpSpPr>
                        <a:xfrm>
                          <a:off x="5341238" y="3775238"/>
                          <a:ext cx="9525" cy="9525"/>
                          <a:chOff x="5341238" y="3775238"/>
                          <a:chExt cx="9525" cy="9525"/>
                        </a:xfrm>
                      </wpg:grpSpPr>
                      <wpg:grpSp>
                        <wpg:cNvGrpSpPr/>
                        <wpg:grpSpPr>
                          <a:xfrm>
                            <a:off x="5341238" y="3775238"/>
                            <a:ext cx="9525" cy="9525"/>
                            <a:chOff x="0" y="0"/>
                            <a:chExt cx="9525" cy="9525"/>
                          </a:xfrm>
                        </wpg:grpSpPr>
                        <wps:wsp>
                          <wps:cNvSpPr/>
                          <wps:cNvPr id="3" name="Shape 3"/>
                          <wps:spPr>
                            <a:xfrm>
                              <a:off x="0" y="0"/>
                              <a:ext cx="95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080" y="5080"/>
                              <a:ext cx="1270" cy="1270"/>
                            </a:xfrm>
                            <a:custGeom>
                              <a:rect b="b" l="l" r="r" t="t"/>
                              <a:pathLst>
                                <a:path extrusionOk="0" h="1270" w="1270">
                                  <a:moveTo>
                                    <a:pt x="0" y="0"/>
                                  </a:move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5080" y="5080"/>
                              <a:ext cx="1270" cy="1270"/>
                            </a:xfrm>
                            <a:custGeom>
                              <a:rect b="b" l="l" r="r" t="t"/>
                              <a:pathLst>
                                <a:path extrusionOk="0" h="1270" w="1270">
                                  <a:moveTo>
                                    <a:pt x="0" y="0"/>
                                  </a:move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5080" y="5080"/>
                              <a:ext cx="1270" cy="1270"/>
                            </a:xfrm>
                            <a:custGeom>
                              <a:rect b="b" l="l" r="r" t="t"/>
                              <a:pathLst>
                                <a:path extrusionOk="0" h="1270" w="1270">
                                  <a:moveTo>
                                    <a:pt x="0" y="0"/>
                                  </a:move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5080" y="5080"/>
                              <a:ext cx="1270" cy="1270"/>
                            </a:xfrm>
                            <a:custGeom>
                              <a:rect b="b" l="l" r="r" t="t"/>
                              <a:pathLst>
                                <a:path extrusionOk="0" h="1270" w="1270">
                                  <a:moveTo>
                                    <a:pt x="0" y="0"/>
                                  </a:moveTo>
                                  <a:close/>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5080" y="5080"/>
                              <a:ext cx="1270" cy="1270"/>
                            </a:xfrm>
                            <a:custGeom>
                              <a:rect b="b" l="l" r="r" t="t"/>
                              <a:pathLst>
                                <a:path extrusionOk="0" h="1270" w="1270">
                                  <a:moveTo>
                                    <a:pt x="0" y="0"/>
                                  </a:move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page">
                  <wp:posOffset>-4761</wp:posOffset>
                </wp:positionV>
                <wp:extent cx="9525" cy="9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95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sz w:val="32"/>
          <w:szCs w:val="32"/>
          <w:rtl w:val="0"/>
        </w:rPr>
        <w:t xml:space="preserve">Wolfie Bowl</w:t>
      </w:r>
      <w:r w:rsidDel="00000000" w:rsidR="00000000" w:rsidRPr="00000000">
        <w:rPr>
          <w:rtl w:val="0"/>
        </w:rPr>
      </w:r>
    </w:p>
    <w:p w:rsidR="00000000" w:rsidDel="00000000" w:rsidP="00000000" w:rsidRDefault="00000000" w:rsidRPr="00000000" w14:paraId="00000002">
      <w:pPr>
        <w:spacing w:before="51" w:line="287" w:lineRule="auto"/>
        <w:ind w:left="1440" w:right="4329"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Written by Marc Calza, Kate Long, Jack Bauer, and Jade Anderson Head edited by Jade Anderson</w:t>
      </w:r>
      <w:r w:rsidDel="00000000" w:rsidR="00000000" w:rsidRPr="00000000">
        <w:rPr>
          <w:rtl w:val="0"/>
        </w:rPr>
      </w:r>
    </w:p>
    <w:p w:rsidR="00000000" w:rsidDel="00000000" w:rsidP="00000000" w:rsidRDefault="00000000" w:rsidRPr="00000000" w14:paraId="00000003">
      <w:pPr>
        <w:spacing w:before="6" w:line="100" w:lineRule="auto"/>
        <w:rPr>
          <w:sz w:val="10"/>
          <w:szCs w:val="10"/>
        </w:rPr>
      </w:pPr>
      <w:r w:rsidDel="00000000" w:rsidR="00000000" w:rsidRPr="00000000">
        <w:rPr>
          <w:rtl w:val="0"/>
        </w:rPr>
      </w:r>
    </w:p>
    <w:p w:rsidR="00000000" w:rsidDel="00000000" w:rsidP="00000000" w:rsidRDefault="00000000" w:rsidRPr="00000000" w14:paraId="00000004">
      <w:pPr>
        <w:spacing w:line="200" w:lineRule="auto"/>
        <w:rPr>
          <w:sz w:val="20"/>
          <w:szCs w:val="20"/>
        </w:rPr>
      </w:pPr>
      <w:r w:rsidDel="00000000" w:rsidR="00000000" w:rsidRPr="00000000">
        <w:rPr>
          <w:rtl w:val="0"/>
        </w:rPr>
      </w:r>
    </w:p>
    <w:p w:rsidR="00000000" w:rsidDel="00000000" w:rsidP="00000000" w:rsidRDefault="00000000" w:rsidRPr="00000000" w14:paraId="00000005">
      <w:pPr>
        <w:ind w:left="1440" w:right="977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0"/>
          <w:sz w:val="30"/>
          <w:szCs w:val="30"/>
          <w:rtl w:val="0"/>
        </w:rPr>
        <w:t xml:space="preserve">Packet 2</w:t>
      </w:r>
      <w:r w:rsidDel="00000000" w:rsidR="00000000" w:rsidRPr="00000000">
        <w:rPr>
          <w:rtl w:val="0"/>
        </w:rPr>
      </w:r>
    </w:p>
    <w:p w:rsidR="00000000" w:rsidDel="00000000" w:rsidP="00000000" w:rsidRDefault="00000000" w:rsidRPr="00000000" w14:paraId="00000006">
      <w:pPr>
        <w:spacing w:before="5" w:line="140" w:lineRule="auto"/>
        <w:rPr>
          <w:sz w:val="14"/>
          <w:szCs w:val="14"/>
        </w:rPr>
      </w:pPr>
      <w:r w:rsidDel="00000000" w:rsidR="00000000" w:rsidRPr="00000000">
        <w:rPr>
          <w:rtl w:val="0"/>
        </w:rPr>
      </w:r>
    </w:p>
    <w:p w:rsidR="00000000" w:rsidDel="00000000" w:rsidP="00000000" w:rsidRDefault="00000000" w:rsidRPr="00000000" w14:paraId="00000007">
      <w:pPr>
        <w:spacing w:line="200" w:lineRule="auto"/>
        <w:rPr>
          <w:sz w:val="20"/>
          <w:szCs w:val="20"/>
        </w:rPr>
      </w:pPr>
      <w:r w:rsidDel="00000000" w:rsidR="00000000" w:rsidRPr="00000000">
        <w:rPr>
          <w:rtl w:val="0"/>
        </w:rPr>
      </w:r>
    </w:p>
    <w:p w:rsidR="00000000" w:rsidDel="00000000" w:rsidP="00000000" w:rsidRDefault="00000000" w:rsidRPr="00000000" w14:paraId="00000008">
      <w:pPr>
        <w:numPr>
          <w:ilvl w:val="0"/>
          <w:numId w:val="2"/>
        </w:numPr>
        <w:tabs>
          <w:tab w:val="left" w:pos="1689"/>
        </w:tabs>
        <w:spacing w:line="276.99999999999994" w:lineRule="auto"/>
        <w:ind w:left="1440" w:right="1443"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 one story by this author, an old woman dies and is found to have killed her suitor Homer Barron thirty years ago, yet sleeps next to his body every night. That short story, (*) </w:t>
      </w:r>
      <w:r w:rsidDel="00000000" w:rsidR="00000000" w:rsidRPr="00000000">
        <w:rPr>
          <w:rFonts w:ascii="Times New Roman" w:cs="Times New Roman" w:eastAsia="Times New Roman" w:hAnsi="Times New Roman"/>
          <w:b w:val="0"/>
          <w:i w:val="1"/>
          <w:sz w:val="22"/>
          <w:szCs w:val="22"/>
          <w:rtl w:val="0"/>
        </w:rPr>
        <w:t xml:space="preserve">A Rose For Emily</w:t>
      </w:r>
      <w:r w:rsidDel="00000000" w:rsidR="00000000" w:rsidRPr="00000000">
        <w:rPr>
          <w:rFonts w:ascii="Times New Roman" w:cs="Times New Roman" w:eastAsia="Times New Roman" w:hAnsi="Times New Roman"/>
          <w:b w:val="0"/>
          <w:i w:val="0"/>
          <w:sz w:val="22"/>
          <w:szCs w:val="22"/>
          <w:rtl w:val="0"/>
        </w:rPr>
        <w:t xml:space="preserve">, is written in this author’s common Southern Gothic style. Another of this author’s works is narrated by members of the Bundren family on their way to bury their matriarch, Addie. For 10 points, name this American author of </w:t>
      </w:r>
      <w:r w:rsidDel="00000000" w:rsidR="00000000" w:rsidRPr="00000000">
        <w:rPr>
          <w:rFonts w:ascii="Times New Roman" w:cs="Times New Roman" w:eastAsia="Times New Roman" w:hAnsi="Times New Roman"/>
          <w:b w:val="0"/>
          <w:i w:val="1"/>
          <w:sz w:val="22"/>
          <w:szCs w:val="22"/>
          <w:rtl w:val="0"/>
        </w:rPr>
        <w:t xml:space="preserve">As I Lay Dying</w:t>
      </w:r>
      <w:r w:rsidDel="00000000" w:rsidR="00000000" w:rsidRPr="00000000">
        <w:rPr>
          <w:rFonts w:ascii="Times New Roman" w:cs="Times New Roman" w:eastAsia="Times New Roman" w:hAnsi="Times New Roman"/>
          <w:b w:val="0"/>
          <w:i w:val="0"/>
          <w:sz w:val="22"/>
          <w:szCs w:val="22"/>
          <w:rtl w:val="0"/>
        </w:rPr>
        <w:t xml:space="preserve">.</w:t>
      </w:r>
      <w:r w:rsidDel="00000000" w:rsidR="00000000" w:rsidRPr="00000000">
        <w:rPr>
          <w:rtl w:val="0"/>
        </w:rPr>
      </w:r>
    </w:p>
    <w:p w:rsidR="00000000" w:rsidDel="00000000" w:rsidP="00000000" w:rsidRDefault="00000000" w:rsidRPr="00000000" w14:paraId="00000009">
      <w:pPr>
        <w:spacing w:line="246.99999999999994" w:lineRule="auto"/>
        <w:ind w:left="1440" w:right="8113"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William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2"/>
          <w:szCs w:val="22"/>
          <w:u w:val="single"/>
          <w:rtl w:val="0"/>
        </w:rPr>
        <w:t xml:space="preserve">Faulkner </w:t>
      </w:r>
      <w:r w:rsidDel="00000000" w:rsidR="00000000" w:rsidRPr="00000000">
        <w:rPr>
          <w:rtl w:val="0"/>
        </w:rPr>
      </w:r>
    </w:p>
    <w:p w:rsidR="00000000" w:rsidDel="00000000" w:rsidP="00000000" w:rsidRDefault="00000000" w:rsidRPr="00000000" w14:paraId="0000000A">
      <w:pPr>
        <w:spacing w:line="260" w:lineRule="auto"/>
        <w:rPr>
          <w:sz w:val="26"/>
          <w:szCs w:val="26"/>
        </w:rPr>
      </w:pPr>
      <w:r w:rsidDel="00000000" w:rsidR="00000000" w:rsidRPr="00000000">
        <w:rPr>
          <w:rtl w:val="0"/>
        </w:rPr>
      </w:r>
    </w:p>
    <w:p w:rsidR="00000000" w:rsidDel="00000000" w:rsidP="00000000" w:rsidRDefault="00000000" w:rsidRPr="00000000" w14:paraId="0000000B">
      <w:pPr>
        <w:numPr>
          <w:ilvl w:val="0"/>
          <w:numId w:val="2"/>
        </w:numPr>
        <w:tabs>
          <w:tab w:val="left" w:pos="1674"/>
        </w:tabs>
        <w:spacing w:before="71" w:line="273" w:lineRule="auto"/>
        <w:ind w:left="1440" w:right="1442"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The speed of this phenomenon can be determined by the square root of the elastic bulk modulus divided by density according to the Newton-Laplace [Luh-plass] equation. Integer multiples of the fundamental of this phenomenon are called (*) </w:t>
      </w:r>
      <w:r w:rsidDel="00000000" w:rsidR="00000000" w:rsidRPr="00000000">
        <w:rPr>
          <w:rFonts w:ascii="Times New Roman" w:cs="Times New Roman" w:eastAsia="Times New Roman" w:hAnsi="Times New Roman"/>
          <w:b w:val="0"/>
          <w:sz w:val="22"/>
          <w:szCs w:val="22"/>
          <w:rtl w:val="0"/>
        </w:rPr>
        <w:t xml:space="preserve">overtones. An aircraft travelling against this phenomenon’s barrier is called Mach 1 and breaking that barrier produces a sonic boom. For 10 points, name this phenomenon with components like pitch and frequency.</w:t>
      </w:r>
      <w:r w:rsidDel="00000000" w:rsidR="00000000" w:rsidRPr="00000000">
        <w:rPr>
          <w:rtl w:val="0"/>
        </w:rPr>
      </w:r>
    </w:p>
    <w:p w:rsidR="00000000" w:rsidDel="00000000" w:rsidP="00000000" w:rsidRDefault="00000000" w:rsidRPr="00000000" w14:paraId="0000000C">
      <w:pPr>
        <w:spacing w:before="12" w:lineRule="auto"/>
        <w:ind w:left="1440" w:right="8589"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w:t>
      </w:r>
      <w:r w:rsidDel="00000000" w:rsidR="00000000" w:rsidRPr="00000000">
        <w:rPr>
          <w:rFonts w:ascii="Times New Roman" w:cs="Times New Roman" w:eastAsia="Times New Roman" w:hAnsi="Times New Roman"/>
          <w:b w:val="1"/>
          <w:sz w:val="22"/>
          <w:szCs w:val="22"/>
          <w:u w:val="single"/>
          <w:rtl w:val="0"/>
        </w:rPr>
        <w:t xml:space="preserve">sound</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0"/>
          <w:sz w:val="22"/>
          <w:szCs w:val="22"/>
          <w:u w:val="none"/>
          <w:rtl w:val="0"/>
        </w:rPr>
        <w:t xml:space="preserve">waves</w:t>
      </w:r>
      <w:r w:rsidDel="00000000" w:rsidR="00000000" w:rsidRPr="00000000">
        <w:rPr>
          <w:rtl w:val="0"/>
        </w:rPr>
      </w:r>
    </w:p>
    <w:p w:rsidR="00000000" w:rsidDel="00000000" w:rsidP="00000000" w:rsidRDefault="00000000" w:rsidRPr="00000000" w14:paraId="0000000D">
      <w:pPr>
        <w:spacing w:before="5" w:line="240" w:lineRule="auto"/>
        <w:rPr>
          <w:sz w:val="24"/>
          <w:szCs w:val="24"/>
        </w:rPr>
      </w:pPr>
      <w:r w:rsidDel="00000000" w:rsidR="00000000" w:rsidRPr="00000000">
        <w:rPr>
          <w:rtl w:val="0"/>
        </w:rPr>
      </w:r>
    </w:p>
    <w:p w:rsidR="00000000" w:rsidDel="00000000" w:rsidP="00000000" w:rsidRDefault="00000000" w:rsidRPr="00000000" w14:paraId="0000000E">
      <w:pPr>
        <w:numPr>
          <w:ilvl w:val="0"/>
          <w:numId w:val="2"/>
        </w:numPr>
        <w:tabs>
          <w:tab w:val="left" w:pos="1704"/>
        </w:tabs>
        <w:spacing w:before="71" w:line="276" w:lineRule="auto"/>
        <w:ind w:left="1440" w:right="1442"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One ruler of this kingdom assassinated his half brother and experienced a conflict with the Voortrekkers. In a war involving this kingdom, Dabulamanzi failed to raid a trading post on the Buffalo River. That war began with this kingdom’s victory at the Battle of (*) </w:t>
      </w:r>
      <w:r w:rsidDel="00000000" w:rsidR="00000000" w:rsidRPr="00000000">
        <w:rPr>
          <w:rFonts w:ascii="Times New Roman" w:cs="Times New Roman" w:eastAsia="Times New Roman" w:hAnsi="Times New Roman"/>
          <w:b w:val="0"/>
          <w:sz w:val="22"/>
          <w:szCs w:val="22"/>
          <w:rtl w:val="0"/>
        </w:rPr>
        <w:t xml:space="preserve">Isandlawa, but ended with their defeat at the Battle of Ulundi. One leader of this kingdom adopted “buffalo horns” and mfecane [meh-fuh-cahn-ay] military tactics. For 10 points, name this South Africankingdom that was once led by Shaka.</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440" w:right="4742"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Zulu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Kingdom or Empire (accept Kingdom of Zululand)</w:t>
      </w:r>
    </w:p>
    <w:p w:rsidR="00000000" w:rsidDel="00000000" w:rsidP="00000000" w:rsidRDefault="00000000" w:rsidRPr="00000000" w14:paraId="00000010">
      <w:pPr>
        <w:spacing w:before="19" w:line="240" w:lineRule="auto"/>
        <w:rPr>
          <w:sz w:val="24"/>
          <w:szCs w:val="24"/>
        </w:rPr>
      </w:pPr>
      <w:r w:rsidDel="00000000" w:rsidR="00000000" w:rsidRPr="00000000">
        <w:rPr>
          <w:rtl w:val="0"/>
        </w:rPr>
      </w:r>
    </w:p>
    <w:p w:rsidR="00000000" w:rsidDel="00000000" w:rsidP="00000000" w:rsidRDefault="00000000" w:rsidRPr="00000000" w14:paraId="00000011">
      <w:pPr>
        <w:spacing w:before="72" w:line="273" w:lineRule="auto"/>
        <w:ind w:left="1440" w:right="1442" w:firstLine="0"/>
        <w:jc w:val="both"/>
        <w:rPr>
          <w:rFonts w:ascii="Times New Roman" w:cs="Times New Roman" w:eastAsia="Times New Roman" w:hAnsi="Times New Roman"/>
          <w:sz w:val="22"/>
          <w:szCs w:val="22"/>
        </w:rPr>
      </w:pPr>
      <w:r w:rsidDel="00000000" w:rsidR="00000000" w:rsidRPr="00000000">
        <w:rPr>
          <w:rFonts w:ascii="Arial" w:cs="Arial" w:eastAsia="Arial" w:hAnsi="Arial"/>
          <w:b w:val="0"/>
          <w:sz w:val="22"/>
          <w:szCs w:val="22"/>
          <w:rtl w:val="0"/>
        </w:rPr>
        <w:t xml:space="preserve">4. </w:t>
      </w:r>
      <w:r w:rsidDel="00000000" w:rsidR="00000000" w:rsidRPr="00000000">
        <w:rPr>
          <w:rFonts w:ascii="Times New Roman" w:cs="Times New Roman" w:eastAsia="Times New Roman" w:hAnsi="Times New Roman"/>
          <w:b w:val="1"/>
          <w:sz w:val="22"/>
          <w:szCs w:val="22"/>
          <w:rtl w:val="0"/>
        </w:rPr>
        <w:t xml:space="preserve">Smart rubber utilizes these interactions to repair itself because these interactions instantaneously mend surfaces of the same polymer. Three of these interactions occur between (*) </w:t>
      </w:r>
      <w:r w:rsidDel="00000000" w:rsidR="00000000" w:rsidRPr="00000000">
        <w:rPr>
          <w:rFonts w:ascii="Times New Roman" w:cs="Times New Roman" w:eastAsia="Times New Roman" w:hAnsi="Times New Roman"/>
          <w:b w:val="0"/>
          <w:sz w:val="22"/>
          <w:szCs w:val="22"/>
          <w:rtl w:val="0"/>
        </w:rPr>
        <w:t xml:space="preserve">guanine and cytosine while two occur between adenine and thymine in DNA. These molecular bonds are responsible for the high boiling point of water and are present in water’s structure. For 10 points, name these dipole-dipole interactions named for the first element of the periodic table.</w:t>
      </w:r>
      <w:r w:rsidDel="00000000" w:rsidR="00000000" w:rsidRPr="00000000">
        <w:rPr>
          <w:rtl w:val="0"/>
        </w:rPr>
      </w:r>
    </w:p>
    <w:p w:rsidR="00000000" w:rsidDel="00000000" w:rsidP="00000000" w:rsidRDefault="00000000" w:rsidRPr="00000000" w14:paraId="00000012">
      <w:pPr>
        <w:spacing w:before="12" w:lineRule="auto"/>
        <w:ind w:left="1440" w:right="810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w:t>
      </w:r>
      <w:r w:rsidDel="00000000" w:rsidR="00000000" w:rsidRPr="00000000">
        <w:rPr>
          <w:rFonts w:ascii="Times New Roman" w:cs="Times New Roman" w:eastAsia="Times New Roman" w:hAnsi="Times New Roman"/>
          <w:b w:val="1"/>
          <w:sz w:val="22"/>
          <w:szCs w:val="22"/>
          <w:u w:val="single"/>
          <w:rtl w:val="0"/>
        </w:rPr>
        <w:t xml:space="preserve">hydrogen  bond</w:t>
      </w:r>
      <w:r w:rsidDel="00000000" w:rsidR="00000000" w:rsidRPr="00000000">
        <w:rPr>
          <w:rFonts w:ascii="Times New Roman" w:cs="Times New Roman" w:eastAsia="Times New Roman" w:hAnsi="Times New Roman"/>
          <w:b w:val="0"/>
          <w:sz w:val="22"/>
          <w:szCs w:val="22"/>
          <w:u w:val="none"/>
          <w:rtl w:val="0"/>
        </w:rPr>
        <w:t xml:space="preserve">(s)</w:t>
      </w:r>
      <w:r w:rsidDel="00000000" w:rsidR="00000000" w:rsidRPr="00000000">
        <w:rPr>
          <w:rtl w:val="0"/>
        </w:rPr>
      </w:r>
    </w:p>
    <w:p w:rsidR="00000000" w:rsidDel="00000000" w:rsidP="00000000" w:rsidRDefault="00000000" w:rsidRPr="00000000" w14:paraId="00000013">
      <w:pPr>
        <w:spacing w:before="5" w:line="240" w:lineRule="auto"/>
        <w:rPr>
          <w:sz w:val="24"/>
          <w:szCs w:val="24"/>
        </w:rPr>
      </w:pPr>
      <w:r w:rsidDel="00000000" w:rsidR="00000000" w:rsidRPr="00000000">
        <w:rPr>
          <w:rtl w:val="0"/>
        </w:rPr>
      </w:r>
    </w:p>
    <w:p w:rsidR="00000000" w:rsidDel="00000000" w:rsidP="00000000" w:rsidRDefault="00000000" w:rsidRPr="00000000" w14:paraId="00000014">
      <w:pPr>
        <w:numPr>
          <w:ilvl w:val="0"/>
          <w:numId w:val="1"/>
        </w:numPr>
        <w:tabs>
          <w:tab w:val="left" w:pos="1689"/>
        </w:tabs>
        <w:spacing w:before="71" w:line="276" w:lineRule="auto"/>
        <w:ind w:left="1440" w:right="1443"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The successive stages of this painting were photographed by Dora Maar. A wounded soldier in this painting has a stigma in their outstretched hand. In this painting, a human skull overlays a horse and a flower grows from a (*) </w:t>
      </w:r>
      <w:r w:rsidDel="00000000" w:rsidR="00000000" w:rsidRPr="00000000">
        <w:rPr>
          <w:rFonts w:ascii="Times New Roman" w:cs="Times New Roman" w:eastAsia="Times New Roman" w:hAnsi="Times New Roman"/>
          <w:b w:val="0"/>
          <w:sz w:val="22"/>
          <w:szCs w:val="22"/>
          <w:rtl w:val="0"/>
        </w:rPr>
        <w:t xml:space="preserve">shattered sword. A bull stands above a woman weeping over the body of her dead child and an eye with a light bulb lies to the left in this painting. For 10 points, name this painting by Pablo Picasso, named for a Basque town that was bombed in the Spanish Civil War.</w:t>
      </w:r>
      <w:r w:rsidDel="00000000" w:rsidR="00000000" w:rsidRPr="00000000">
        <w:rPr>
          <w:rtl w:val="0"/>
        </w:rPr>
      </w:r>
    </w:p>
    <w:p w:rsidR="00000000" w:rsidDel="00000000" w:rsidP="00000000" w:rsidRDefault="00000000" w:rsidRPr="00000000" w14:paraId="00000015">
      <w:pPr>
        <w:numPr>
          <w:ilvl w:val="0"/>
          <w:numId w:val="1"/>
        </w:numPr>
        <w:tabs>
          <w:tab w:val="left" w:pos="1689"/>
        </w:tabs>
        <w:spacing w:before="71" w:line="276" w:lineRule="auto"/>
        <w:ind w:left="1440" w:right="1443" w:firstLine="0"/>
        <w:jc w:val="left"/>
        <w:rPr>
          <w:rFonts w:ascii="Times New Roman" w:cs="Times New Roman" w:eastAsia="Times New Roman" w:hAnsi="Times New Roman"/>
          <w:sz w:val="22"/>
          <w:szCs w:val="22"/>
        </w:rPr>
        <w:sectPr>
          <w:footerReference r:id="rId8" w:type="default"/>
          <w:pgSz w:h="15840" w:w="12240" w:orient="portrait"/>
          <w:pgMar w:bottom="0" w:top="1360" w:left="0" w:right="0" w:header="360" w:footer="0"/>
          <w:pgNumType w:start="1"/>
        </w:sect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Guernica</w:t>
      </w:r>
      <w:r w:rsidDel="00000000" w:rsidR="00000000" w:rsidRPr="00000000">
        <w:rPr>
          <w:rtl w:val="0"/>
        </w:rPr>
      </w:r>
    </w:p>
    <w:p w:rsidR="00000000" w:rsidDel="00000000" w:rsidP="00000000" w:rsidRDefault="00000000" w:rsidRPr="00000000" w14:paraId="00000016">
      <w:pPr>
        <w:numPr>
          <w:ilvl w:val="0"/>
          <w:numId w:val="1"/>
        </w:numPr>
        <w:tabs>
          <w:tab w:val="left" w:pos="1674"/>
        </w:tabs>
        <w:spacing w:before="69" w:line="276.99999999999994" w:lineRule="auto"/>
        <w:ind w:left="1440" w:right="1442"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This character is married to a man who often calls her “little squirrel” and “little skylark.” This character lies about not eating macaroons and is a friend of Christine Linde. This character is blackmailed by (*) </w:t>
      </w:r>
      <w:r w:rsidDel="00000000" w:rsidR="00000000" w:rsidRPr="00000000">
        <w:rPr>
          <w:rFonts w:ascii="Times New Roman" w:cs="Times New Roman" w:eastAsia="Times New Roman" w:hAnsi="Times New Roman"/>
          <w:b w:val="0"/>
          <w:sz w:val="22"/>
          <w:szCs w:val="22"/>
          <w:rtl w:val="0"/>
        </w:rPr>
        <w:t xml:space="preserve">Krogstad for taking a bank loan under her father’s name and she later realizes she’s been living with a “stranger” for “eight whole years.” For 10 points, name this character who slams the door on her husband Torvald at the end of Henrik Ibsen’s play A Doll’s House?</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440" w:right="6013"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ANSWER: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Nora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Helmer (prompt on “Helmer” alone)</w:t>
      </w:r>
    </w:p>
    <w:p w:rsidR="00000000" w:rsidDel="00000000" w:rsidP="00000000" w:rsidRDefault="00000000" w:rsidRPr="00000000" w14:paraId="00000018">
      <w:pPr>
        <w:spacing w:line="260" w:lineRule="auto"/>
        <w:rPr>
          <w:sz w:val="26"/>
          <w:szCs w:val="26"/>
        </w:rPr>
      </w:pPr>
      <w:r w:rsidDel="00000000" w:rsidR="00000000" w:rsidRPr="00000000">
        <w:rPr>
          <w:rtl w:val="0"/>
        </w:rPr>
      </w:r>
    </w:p>
    <w:p w:rsidR="00000000" w:rsidDel="00000000" w:rsidP="00000000" w:rsidRDefault="00000000" w:rsidRPr="00000000" w14:paraId="00000019">
      <w:pPr>
        <w:numPr>
          <w:ilvl w:val="0"/>
          <w:numId w:val="1"/>
        </w:numPr>
        <w:tabs>
          <w:tab w:val="left" w:pos="1659"/>
        </w:tabs>
        <w:spacing w:before="71" w:line="276" w:lineRule="auto"/>
        <w:ind w:left="1440" w:right="1448" w:firstLine="0"/>
        <w:jc w:val="both"/>
        <w:rPr>
          <w:rFonts w:ascii="Times New Roman" w:cs="Times New Roman" w:eastAsia="Times New Roman" w:hAnsi="Times New Roman"/>
          <w:sz w:val="22"/>
          <w:szCs w:val="22"/>
        </w:rPr>
        <w:sectPr>
          <w:type w:val="nextPage"/>
          <w:pgSz w:h="15840" w:w="12240" w:orient="portrait"/>
          <w:pgMar w:bottom="0" w:top="1360" w:left="0" w:right="0" w:header="0" w:footer="0"/>
        </w:sectPr>
      </w:pPr>
      <w:r w:rsidDel="00000000" w:rsidR="00000000" w:rsidRPr="00000000">
        <w:rPr>
          <w:rFonts w:ascii="Times New Roman" w:cs="Times New Roman" w:eastAsia="Times New Roman" w:hAnsi="Times New Roman"/>
          <w:b w:val="1"/>
          <w:sz w:val="22"/>
          <w:szCs w:val="22"/>
          <w:rtl w:val="0"/>
        </w:rPr>
        <w:t xml:space="preserve">This organization titles a 2014 popular history by Terry Golway where it was known as “machine made.” This organization shut off gaslights which led to the birth of the locofocos. This organization’s influence declined during (*) </w:t>
      </w:r>
      <w:r w:rsidDel="00000000" w:rsidR="00000000" w:rsidRPr="00000000">
        <w:rPr>
          <w:rFonts w:ascii="Times New Roman" w:cs="Times New Roman" w:eastAsia="Times New Roman" w:hAnsi="Times New Roman"/>
          <w:b w:val="0"/>
          <w:sz w:val="22"/>
          <w:szCs w:val="22"/>
          <w:rtl w:val="0"/>
        </w:rPr>
        <w:t xml:space="preserve">Fiorello La Guardia’s run as mayor of New York City. This organization was depicted as a tiger and one leader of it was shown with his head replaced with a money bag in cartoons by Thomas Nast. For 10 points, name this New York political machine once led by Boss Tweed.</w:t>
      </w:r>
      <w:r w:rsidDel="00000000" w:rsidR="00000000" w:rsidRPr="00000000">
        <w:rPr>
          <w:rtl w:val="0"/>
        </w:rPr>
      </w:r>
    </w:p>
    <w:p w:rsidR="00000000" w:rsidDel="00000000" w:rsidP="00000000" w:rsidRDefault="00000000" w:rsidRPr="00000000" w14:paraId="0000001A">
      <w:pPr>
        <w:spacing w:before="10" w:lineRule="auto"/>
        <w:ind w:left="1440" w:right="0" w:firstLine="0"/>
        <w:jc w:val="left"/>
        <w:rPr>
          <w:rFonts w:ascii="Times New Roman" w:cs="Times New Roman" w:eastAsia="Times New Roman" w:hAnsi="Times New Roman"/>
          <w:sz w:val="22"/>
          <w:szCs w:val="22"/>
        </w:rPr>
        <w:sectPr>
          <w:type w:val="continuous"/>
          <w:pgSz w:h="15840" w:w="12240" w:orient="portrait"/>
          <w:pgMar w:bottom="0" w:top="1360" w:left="0" w:right="0" w:header="360" w:footer="360"/>
          <w:cols w:equalWidth="0" w:num="2">
            <w:col w:space="40" w:w="6100"/>
            <w:col w:space="0" w:w="6100"/>
          </w:cols>
        </w:sect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Tammany Hall </w:t>
      </w:r>
      <w:r w:rsidDel="00000000" w:rsidR="00000000" w:rsidRPr="00000000">
        <w:rPr>
          <w:rFonts w:ascii="Times New Roman" w:cs="Times New Roman" w:eastAsia="Times New Roman" w:hAnsi="Times New Roman"/>
          <w:b w:val="0"/>
          <w:sz w:val="22"/>
          <w:szCs w:val="22"/>
          <w:u w:val="none"/>
          <w:rtl w:val="0"/>
        </w:rPr>
        <w:t xml:space="preserve">(</w:t>
      </w:r>
      <w:r w:rsidDel="00000000" w:rsidR="00000000" w:rsidRPr="00000000">
        <w:rPr>
          <w:rFonts w:ascii="Times New Roman" w:cs="Times New Roman" w:eastAsia="Times New Roman" w:hAnsi="Times New Roman"/>
          <w:b w:val="1"/>
          <w:u w:val="single"/>
          <w:rtl w:val="0"/>
        </w:rPr>
        <w:t xml:space="preserve">Tammany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B">
      <w:pPr>
        <w:spacing w:line="260" w:lineRule="auto"/>
        <w:rPr>
          <w:sz w:val="26"/>
          <w:szCs w:val="26"/>
        </w:rPr>
      </w:pPr>
      <w:r w:rsidDel="00000000" w:rsidR="00000000" w:rsidRPr="00000000">
        <w:rPr>
          <w:rtl w:val="0"/>
        </w:rPr>
      </w:r>
    </w:p>
    <w:p w:rsidR="00000000" w:rsidDel="00000000" w:rsidP="00000000" w:rsidRDefault="00000000" w:rsidRPr="00000000" w14:paraId="0000001C">
      <w:pPr>
        <w:numPr>
          <w:ilvl w:val="0"/>
          <w:numId w:val="1"/>
        </w:numPr>
        <w:tabs>
          <w:tab w:val="left" w:pos="1674"/>
        </w:tabs>
        <w:spacing w:before="71" w:line="273" w:lineRule="auto"/>
        <w:ind w:left="1440" w:right="144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The title character of this novel goes to an opium den after leaving Lady Narborough’s party. In this novel, the title character is called “Prince Charming” by (*) </w:t>
      </w:r>
      <w:r w:rsidDel="00000000" w:rsidR="00000000" w:rsidRPr="00000000">
        <w:rPr>
          <w:rFonts w:ascii="Times New Roman" w:cs="Times New Roman" w:eastAsia="Times New Roman" w:hAnsi="Times New Roman"/>
          <w:b w:val="0"/>
          <w:sz w:val="22"/>
          <w:szCs w:val="22"/>
          <w:rtl w:val="0"/>
        </w:rPr>
        <w:t xml:space="preserve">Sybil Vane. In the beginning of this novel, Basil Hallward is painting a portrait of the title character when Lord Henry Wotton enters. Lord Henry corrupts the title character with hedonism in this novel. For 10 points, name this Oscar Wilde novel in which the title character’s portrait ages but not the character himself.</w:t>
      </w:r>
      <w:r w:rsidDel="00000000" w:rsidR="00000000" w:rsidRPr="00000000">
        <w:rPr>
          <w:rtl w:val="0"/>
        </w:rPr>
      </w:r>
    </w:p>
    <w:p w:rsidR="00000000" w:rsidDel="00000000" w:rsidP="00000000" w:rsidRDefault="00000000" w:rsidRPr="00000000" w14:paraId="0000001D">
      <w:pPr>
        <w:numPr>
          <w:ilvl w:val="0"/>
          <w:numId w:val="1"/>
        </w:numPr>
        <w:tabs>
          <w:tab w:val="left" w:pos="1674"/>
        </w:tabs>
        <w:spacing w:before="71" w:line="273" w:lineRule="auto"/>
        <w:ind w:left="1440" w:right="144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2"/>
          <w:szCs w:val="22"/>
          <w:u w:val="single"/>
          <w:rtl w:val="0"/>
        </w:rPr>
        <w:t xml:space="preserve">Picture of Dorian Gray</w:t>
      </w:r>
      <w:r w:rsidDel="00000000" w:rsidR="00000000" w:rsidRPr="00000000">
        <w:rPr>
          <w:rtl w:val="0"/>
        </w:rPr>
      </w:r>
    </w:p>
    <w:p w:rsidR="00000000" w:rsidDel="00000000" w:rsidP="00000000" w:rsidRDefault="00000000" w:rsidRPr="00000000" w14:paraId="0000001E">
      <w:pPr>
        <w:spacing w:line="260" w:lineRule="auto"/>
        <w:rPr>
          <w:sz w:val="26"/>
          <w:szCs w:val="26"/>
        </w:rPr>
      </w:pPr>
      <w:r w:rsidDel="00000000" w:rsidR="00000000" w:rsidRPr="00000000">
        <w:rPr>
          <w:rtl w:val="0"/>
        </w:rPr>
      </w:r>
    </w:p>
    <w:p w:rsidR="00000000" w:rsidDel="00000000" w:rsidP="00000000" w:rsidRDefault="00000000" w:rsidRPr="00000000" w14:paraId="0000001F">
      <w:pPr>
        <w:numPr>
          <w:ilvl w:val="0"/>
          <w:numId w:val="1"/>
        </w:numPr>
        <w:tabs>
          <w:tab w:val="left" w:pos="1695"/>
        </w:tabs>
        <w:spacing w:before="71" w:line="276" w:lineRule="auto"/>
        <w:ind w:left="1440" w:right="1446"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Inspired by the film </w:t>
      </w:r>
      <w:r w:rsidDel="00000000" w:rsidR="00000000" w:rsidRPr="00000000">
        <w:rPr>
          <w:rFonts w:ascii="Times New Roman" w:cs="Times New Roman" w:eastAsia="Times New Roman" w:hAnsi="Times New Roman"/>
          <w:b w:val="1"/>
          <w:i w:val="1"/>
          <w:sz w:val="22"/>
          <w:szCs w:val="22"/>
          <w:rtl w:val="0"/>
        </w:rPr>
        <w:t xml:space="preserve">Roma</w:t>
      </w:r>
      <w:r w:rsidDel="00000000" w:rsidR="00000000" w:rsidRPr="00000000">
        <w:rPr>
          <w:rFonts w:ascii="Times New Roman" w:cs="Times New Roman" w:eastAsia="Times New Roman" w:hAnsi="Times New Roman"/>
          <w:b w:val="1"/>
          <w:i w:val="0"/>
          <w:sz w:val="22"/>
          <w:szCs w:val="22"/>
          <w:rtl w:val="0"/>
        </w:rPr>
        <w:t xml:space="preserve">, this artist’s song “When I Was Older” appeared on a compilation album for that film. This artist sings “bad, bad news / one of us is gonna lose” in a song that samples audio from an episode of (*) </w:t>
      </w:r>
      <w:r w:rsidDel="00000000" w:rsidR="00000000" w:rsidRPr="00000000">
        <w:rPr>
          <w:rFonts w:ascii="Times New Roman" w:cs="Times New Roman" w:eastAsia="Times New Roman" w:hAnsi="Times New Roman"/>
          <w:b w:val="0"/>
          <w:i w:val="1"/>
          <w:sz w:val="22"/>
          <w:szCs w:val="22"/>
          <w:rtl w:val="0"/>
        </w:rPr>
        <w:t xml:space="preserve">The Office</w:t>
      </w:r>
      <w:r w:rsidDel="00000000" w:rsidR="00000000" w:rsidRPr="00000000">
        <w:rPr>
          <w:rFonts w:ascii="Times New Roman" w:cs="Times New Roman" w:eastAsia="Times New Roman" w:hAnsi="Times New Roman"/>
          <w:b w:val="0"/>
          <w:i w:val="0"/>
          <w:sz w:val="22"/>
          <w:szCs w:val="22"/>
          <w:rtl w:val="0"/>
        </w:rPr>
        <w:t xml:space="preserve">. This singer’s brother, Finneas, wrote her 2015 premiere single, “Ocean Eyes.” This singer gained acclaim for her debut EP, “Don’t Smile at Me” and album “When We Fall Asleep, Where Do We Go?” For 10 points, name this American singer of “Bad Guy.”</w:t>
      </w:r>
      <w:r w:rsidDel="00000000" w:rsidR="00000000" w:rsidRPr="00000000">
        <w:rPr>
          <w:rtl w:val="0"/>
        </w:rPr>
      </w:r>
    </w:p>
    <w:p w:rsidR="00000000" w:rsidDel="00000000" w:rsidP="00000000" w:rsidRDefault="00000000" w:rsidRPr="00000000" w14:paraId="00000020">
      <w:pPr>
        <w:spacing w:line="248.00000000000006" w:lineRule="auto"/>
        <w:ind w:left="1440" w:right="867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Billie </w:t>
      </w:r>
      <w:r w:rsidDel="00000000" w:rsidR="00000000" w:rsidRPr="00000000">
        <w:rPr>
          <w:rFonts w:ascii="Times New Roman" w:cs="Times New Roman" w:eastAsia="Times New Roman" w:hAnsi="Times New Roman"/>
          <w:b w:val="1"/>
          <w:sz w:val="22"/>
          <w:szCs w:val="22"/>
          <w:u w:val="single"/>
          <w:rtl w:val="0"/>
        </w:rPr>
        <w:t xml:space="preserve">Eilish </w:t>
      </w:r>
      <w:r w:rsidDel="00000000" w:rsidR="00000000" w:rsidRPr="00000000">
        <w:rPr>
          <w:rtl w:val="0"/>
        </w:rPr>
      </w:r>
    </w:p>
    <w:p w:rsidR="00000000" w:rsidDel="00000000" w:rsidP="00000000" w:rsidRDefault="00000000" w:rsidRPr="00000000" w14:paraId="00000021">
      <w:pPr>
        <w:spacing w:line="260" w:lineRule="auto"/>
        <w:rPr>
          <w:sz w:val="26"/>
          <w:szCs w:val="26"/>
        </w:rPr>
      </w:pPr>
      <w:r w:rsidDel="00000000" w:rsidR="00000000" w:rsidRPr="00000000">
        <w:rPr>
          <w:rtl w:val="0"/>
        </w:rPr>
      </w:r>
    </w:p>
    <w:p w:rsidR="00000000" w:rsidDel="00000000" w:rsidP="00000000" w:rsidRDefault="00000000" w:rsidRPr="00000000" w14:paraId="00000022">
      <w:pPr>
        <w:numPr>
          <w:ilvl w:val="0"/>
          <w:numId w:val="1"/>
        </w:numPr>
        <w:tabs>
          <w:tab w:val="left" w:pos="1784"/>
        </w:tabs>
        <w:spacing w:before="71" w:line="276" w:lineRule="auto"/>
        <w:ind w:left="1440" w:right="1445"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This brother of V ́e and Vili slew a serpent with “nine twigs of glory.” This deity gave spirit to the  first  humans,  Ask  and  Embla,  and  for  nine  days  he  hung  himself  on  the  world tree (*) </w:t>
      </w:r>
      <w:r w:rsidDel="00000000" w:rsidR="00000000" w:rsidRPr="00000000">
        <w:rPr>
          <w:rFonts w:ascii="Times New Roman" w:cs="Times New Roman" w:eastAsia="Times New Roman" w:hAnsi="Times New Roman"/>
          <w:b w:val="0"/>
          <w:sz w:val="22"/>
          <w:szCs w:val="22"/>
          <w:rtl w:val="0"/>
        </w:rPr>
        <w:t xml:space="preserve">Yggsdrasil in order to gain knowledge. This deity traded one of his eyes to drink from Mimir’s well. He rides the eight legged horse Sleipnir and is accompanied by the wolves Geri and Freki. With the giantess Jord, this deity fathered the god of thunder, Thor. For 10 points, name this Norse “All Father” god. </w:t>
      </w:r>
    </w:p>
    <w:p w:rsidR="00000000" w:rsidDel="00000000" w:rsidP="00000000" w:rsidRDefault="00000000" w:rsidRPr="00000000" w14:paraId="00000023">
      <w:pPr>
        <w:numPr>
          <w:ilvl w:val="0"/>
          <w:numId w:val="1"/>
        </w:numPr>
        <w:tabs>
          <w:tab w:val="left" w:pos="1784"/>
        </w:tabs>
        <w:spacing w:before="71" w:line="276" w:lineRule="auto"/>
        <w:ind w:left="1440" w:right="1445"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Odin </w:t>
      </w:r>
      <w:r w:rsidDel="00000000" w:rsidR="00000000" w:rsidRPr="00000000">
        <w:rPr>
          <w:rFonts w:ascii="Times New Roman" w:cs="Times New Roman" w:eastAsia="Times New Roman" w:hAnsi="Times New Roman"/>
          <w:b w:val="0"/>
          <w:sz w:val="22"/>
          <w:szCs w:val="22"/>
          <w:u w:val="none"/>
          <w:rtl w:val="0"/>
        </w:rPr>
        <w:t xml:space="preserve">(accept Wotan, Wodin)</w:t>
      </w:r>
      <w:r w:rsidDel="00000000" w:rsidR="00000000" w:rsidRPr="00000000">
        <w:rPr>
          <w:rtl w:val="0"/>
        </w:rPr>
      </w:r>
    </w:p>
    <w:p w:rsidR="00000000" w:rsidDel="00000000" w:rsidP="00000000" w:rsidRDefault="00000000" w:rsidRPr="00000000" w14:paraId="00000024">
      <w:pPr>
        <w:spacing w:before="4" w:line="220" w:lineRule="auto"/>
        <w:rPr>
          <w:sz w:val="22"/>
          <w:szCs w:val="22"/>
        </w:rPr>
      </w:pPr>
      <w:r w:rsidDel="00000000" w:rsidR="00000000" w:rsidRPr="00000000">
        <w:rPr>
          <w:rtl w:val="0"/>
        </w:rPr>
      </w:r>
    </w:p>
    <w:p w:rsidR="00000000" w:rsidDel="00000000" w:rsidP="00000000" w:rsidRDefault="00000000" w:rsidRPr="00000000" w14:paraId="00000025">
      <w:pPr>
        <w:numPr>
          <w:ilvl w:val="0"/>
          <w:numId w:val="1"/>
        </w:numPr>
        <w:tabs>
          <w:tab w:val="left" w:pos="1814"/>
        </w:tabs>
        <w:spacing w:before="71" w:line="276" w:lineRule="auto"/>
        <w:ind w:left="1440" w:right="1442" w:firstLine="0"/>
        <w:jc w:val="both"/>
        <w:rPr>
          <w:rFonts w:ascii="Times New Roman" w:cs="Times New Roman" w:eastAsia="Times New Roman" w:hAnsi="Times New Roman"/>
          <w:sz w:val="22"/>
          <w:szCs w:val="22"/>
        </w:rPr>
        <w:sectPr>
          <w:type w:val="continuous"/>
          <w:pgSz w:h="15840" w:w="12240" w:orient="portrait"/>
          <w:pgMar w:bottom="0" w:top="1360" w:left="0" w:right="0" w:header="360" w:footer="360"/>
        </w:sectPr>
      </w:pPr>
      <w:r w:rsidDel="00000000" w:rsidR="00000000" w:rsidRPr="00000000">
        <w:rPr>
          <w:rFonts w:ascii="Times New Roman" w:cs="Times New Roman" w:eastAsia="Times New Roman" w:hAnsi="Times New Roman"/>
          <w:b w:val="1"/>
          <w:sz w:val="22"/>
          <w:szCs w:val="22"/>
          <w:rtl w:val="0"/>
        </w:rPr>
        <w:t xml:space="preserve">A 17th century war fought over control of this country is known as The Ruin. In 2013, this country experienced the Euromaidan movement which began in the “Independence Square” in this country’s capital. Alleged voter fraud in this country led to the 2004 (*) </w:t>
      </w:r>
      <w:r w:rsidDel="00000000" w:rsidR="00000000" w:rsidRPr="00000000">
        <w:rPr>
          <w:rFonts w:ascii="Times New Roman" w:cs="Times New Roman" w:eastAsia="Times New Roman" w:hAnsi="Times New Roman"/>
          <w:b w:val="0"/>
          <w:sz w:val="22"/>
          <w:szCs w:val="22"/>
          <w:rtl w:val="0"/>
        </w:rPr>
        <w:t xml:space="preserve">Orange Revolution. In 1932, this modern day country experienced a forced famine called the Holodomor. The city of Pripyat in this country was evacuated after the Chernobyl disaster. For 10 points, name this Eastern European country with capital at Kiev.</w:t>
      </w:r>
      <w:r w:rsidDel="00000000" w:rsidR="00000000" w:rsidRPr="00000000">
        <w:rPr>
          <w:rtl w:val="0"/>
        </w:rPr>
      </w:r>
    </w:p>
    <w:p w:rsidR="00000000" w:rsidDel="00000000" w:rsidP="00000000" w:rsidRDefault="00000000" w:rsidRPr="00000000" w14:paraId="00000026">
      <w:pPr>
        <w:spacing w:before="69" w:lineRule="auto"/>
        <w:ind w:left="144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Ukraine </w:t>
      </w:r>
      <w:r w:rsidDel="00000000" w:rsidR="00000000" w:rsidRPr="00000000">
        <w:rPr>
          <w:rFonts w:ascii="Times New Roman" w:cs="Times New Roman" w:eastAsia="Times New Roman" w:hAnsi="Times New Roman"/>
          <w:b w:val="0"/>
          <w:sz w:val="22"/>
          <w:szCs w:val="22"/>
          <w:u w:val="none"/>
          <w:rtl w:val="0"/>
        </w:rPr>
        <w:t xml:space="preserve">or Ukrayina</w:t>
      </w:r>
      <w:r w:rsidDel="00000000" w:rsidR="00000000" w:rsidRPr="00000000">
        <w:rPr>
          <w:rtl w:val="0"/>
        </w:rPr>
      </w:r>
    </w:p>
    <w:p w:rsidR="00000000" w:rsidDel="00000000" w:rsidP="00000000" w:rsidRDefault="00000000" w:rsidRPr="00000000" w14:paraId="00000027">
      <w:pPr>
        <w:spacing w:line="260" w:lineRule="auto"/>
        <w:rPr>
          <w:sz w:val="26"/>
          <w:szCs w:val="26"/>
        </w:rPr>
      </w:pPr>
      <w:r w:rsidDel="00000000" w:rsidR="00000000" w:rsidRPr="00000000">
        <w:rPr>
          <w:rtl w:val="0"/>
        </w:rPr>
      </w:r>
    </w:p>
    <w:p w:rsidR="00000000" w:rsidDel="00000000" w:rsidP="00000000" w:rsidRDefault="00000000" w:rsidRPr="00000000" w14:paraId="00000028">
      <w:pPr>
        <w:numPr>
          <w:ilvl w:val="0"/>
          <w:numId w:val="1"/>
        </w:numPr>
        <w:tabs>
          <w:tab w:val="left" w:pos="1784"/>
        </w:tabs>
        <w:spacing w:before="71" w:line="276.99999999999994" w:lineRule="auto"/>
        <w:ind w:left="1440" w:right="1443"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 one poem, this author describes being an “inebriate of air” and a “debauchee of dew” after drinking a “liquor never brewed.” This author describes a concept that “sings without words” and “perches in the soul” in the poem (*) </w:t>
      </w:r>
      <w:r w:rsidDel="00000000" w:rsidR="00000000" w:rsidRPr="00000000">
        <w:rPr>
          <w:rFonts w:ascii="Times New Roman" w:cs="Times New Roman" w:eastAsia="Times New Roman" w:hAnsi="Times New Roman"/>
          <w:b w:val="0"/>
          <w:sz w:val="22"/>
          <w:szCs w:val="22"/>
          <w:rtl w:val="0"/>
        </w:rPr>
        <w:t xml:space="preserve">“Hope is the thing with feathers.” This woman, known for her unconventional use of dashes and untitled works, wrote about a carriage ride in “Because I could not stop for Death.” For 10 points, name this American poet of “I heard a fly buzz when I died.”</w:t>
      </w:r>
      <w:r w:rsidDel="00000000" w:rsidR="00000000" w:rsidRPr="00000000">
        <w:rPr>
          <w:rtl w:val="0"/>
        </w:rPr>
      </w:r>
    </w:p>
    <w:p w:rsidR="00000000" w:rsidDel="00000000" w:rsidP="00000000" w:rsidRDefault="00000000" w:rsidRPr="00000000" w14:paraId="00000029">
      <w:pPr>
        <w:spacing w:line="246.99999999999994" w:lineRule="auto"/>
        <w:ind w:left="1440" w:right="82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Emily </w:t>
      </w:r>
      <w:r w:rsidDel="00000000" w:rsidR="00000000" w:rsidRPr="00000000">
        <w:rPr>
          <w:rFonts w:ascii="Times New Roman" w:cs="Times New Roman" w:eastAsia="Times New Roman" w:hAnsi="Times New Roman"/>
          <w:b w:val="1"/>
          <w:sz w:val="22"/>
          <w:szCs w:val="22"/>
          <w:u w:val="single"/>
          <w:rtl w:val="0"/>
        </w:rPr>
        <w:t xml:space="preserve">Dickinson </w:t>
      </w:r>
      <w:r w:rsidDel="00000000" w:rsidR="00000000" w:rsidRPr="00000000">
        <w:rPr>
          <w:rtl w:val="0"/>
        </w:rPr>
      </w:r>
    </w:p>
    <w:p w:rsidR="00000000" w:rsidDel="00000000" w:rsidP="00000000" w:rsidRDefault="00000000" w:rsidRPr="00000000" w14:paraId="0000002A">
      <w:pPr>
        <w:spacing w:line="260" w:lineRule="auto"/>
        <w:rPr>
          <w:sz w:val="26"/>
          <w:szCs w:val="26"/>
        </w:rPr>
      </w:pPr>
      <w:r w:rsidDel="00000000" w:rsidR="00000000" w:rsidRPr="00000000">
        <w:rPr>
          <w:rtl w:val="0"/>
        </w:rPr>
      </w:r>
    </w:p>
    <w:p w:rsidR="00000000" w:rsidDel="00000000" w:rsidP="00000000" w:rsidRDefault="00000000" w:rsidRPr="00000000" w14:paraId="0000002B">
      <w:pPr>
        <w:numPr>
          <w:ilvl w:val="0"/>
          <w:numId w:val="1"/>
        </w:numPr>
        <w:tabs>
          <w:tab w:val="left" w:pos="1784"/>
        </w:tabs>
        <w:spacing w:before="71" w:line="276" w:lineRule="auto"/>
        <w:ind w:left="1440" w:right="1442"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This man ordered the construction of two aqueducts, Aqua Claudia and Anio Novus. This ruler once rode his horse Incitatus across a floating bridge while wearing the armor of Alexander the Great. This ruler annexed Mauretania as a province and was assassinated in 41 CE by members of a group led by (*) </w:t>
      </w:r>
      <w:r w:rsidDel="00000000" w:rsidR="00000000" w:rsidRPr="00000000">
        <w:rPr>
          <w:rFonts w:ascii="Times New Roman" w:cs="Times New Roman" w:eastAsia="Times New Roman" w:hAnsi="Times New Roman"/>
          <w:b w:val="0"/>
          <w:sz w:val="22"/>
          <w:szCs w:val="22"/>
          <w:rtl w:val="0"/>
        </w:rPr>
        <w:t xml:space="preserve">Cassius Chaera. This son of Germanicus attempted to build a palace on Lake Nemi and was nicknamed “little boot.” For 10 points, name this third Roman emperor who once attempted to make his horse a consul.</w:t>
      </w:r>
      <w:r w:rsidDel="00000000" w:rsidR="00000000" w:rsidRPr="00000000">
        <w:rPr>
          <w:rtl w:val="0"/>
        </w:rPr>
      </w:r>
    </w:p>
    <w:p w:rsidR="00000000" w:rsidDel="00000000" w:rsidP="00000000" w:rsidRDefault="00000000" w:rsidRPr="00000000" w14:paraId="0000002C">
      <w:pPr>
        <w:spacing w:line="248.00000000000006" w:lineRule="auto"/>
        <w:ind w:left="1440" w:right="7502"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Caligula  </w:t>
      </w:r>
      <w:r w:rsidDel="00000000" w:rsidR="00000000" w:rsidRPr="00000000">
        <w:rPr>
          <w:rFonts w:ascii="Times New Roman" w:cs="Times New Roman" w:eastAsia="Times New Roman" w:hAnsi="Times New Roman"/>
          <w:b w:val="0"/>
          <w:sz w:val="22"/>
          <w:szCs w:val="22"/>
          <w:u w:val="none"/>
          <w:rtl w:val="0"/>
        </w:rPr>
        <w:t xml:space="preserve">or Gaius Caesar</w:t>
      </w:r>
      <w:r w:rsidDel="00000000" w:rsidR="00000000" w:rsidRPr="00000000">
        <w:rPr>
          <w:rtl w:val="0"/>
        </w:rPr>
      </w:r>
    </w:p>
    <w:p w:rsidR="00000000" w:rsidDel="00000000" w:rsidP="00000000" w:rsidRDefault="00000000" w:rsidRPr="00000000" w14:paraId="0000002D">
      <w:pPr>
        <w:spacing w:line="260" w:lineRule="auto"/>
        <w:rPr>
          <w:sz w:val="26"/>
          <w:szCs w:val="26"/>
        </w:rPr>
      </w:pPr>
      <w:r w:rsidDel="00000000" w:rsidR="00000000" w:rsidRPr="00000000">
        <w:rPr>
          <w:rtl w:val="0"/>
        </w:rPr>
      </w:r>
    </w:p>
    <w:p w:rsidR="00000000" w:rsidDel="00000000" w:rsidP="00000000" w:rsidRDefault="00000000" w:rsidRPr="00000000" w14:paraId="0000002E">
      <w:pPr>
        <w:numPr>
          <w:ilvl w:val="0"/>
          <w:numId w:val="1"/>
        </w:numPr>
        <w:tabs>
          <w:tab w:val="left" w:pos="1799"/>
        </w:tabs>
        <w:spacing w:before="71" w:line="276" w:lineRule="auto"/>
        <w:ind w:left="1440" w:right="1442"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This composer’s work, </w:t>
      </w:r>
      <w:r w:rsidDel="00000000" w:rsidR="00000000" w:rsidRPr="00000000">
        <w:rPr>
          <w:rFonts w:ascii="Times New Roman" w:cs="Times New Roman" w:eastAsia="Times New Roman" w:hAnsi="Times New Roman"/>
          <w:b w:val="1"/>
          <w:i w:val="1"/>
          <w:sz w:val="22"/>
          <w:szCs w:val="22"/>
          <w:rtl w:val="0"/>
        </w:rPr>
        <w:t xml:space="preserve">Of Thee I Sing </w:t>
      </w:r>
      <w:r w:rsidDel="00000000" w:rsidR="00000000" w:rsidRPr="00000000">
        <w:rPr>
          <w:rFonts w:ascii="Times New Roman" w:cs="Times New Roman" w:eastAsia="Times New Roman" w:hAnsi="Times New Roman"/>
          <w:b w:val="1"/>
          <w:i w:val="0"/>
          <w:sz w:val="22"/>
          <w:szCs w:val="22"/>
          <w:rtl w:val="0"/>
        </w:rPr>
        <w:t xml:space="preserve">became the first musical to win the Pulitzer Prize for drama. This composer’s musical Girl Crazy features his songs “Embraceable You” and “I Got Rhythm.” His songs “Summertime” and “It Ain’t Necessarily So” are featured in an opera that has an all (*) </w:t>
      </w:r>
      <w:r w:rsidDel="00000000" w:rsidR="00000000" w:rsidRPr="00000000">
        <w:rPr>
          <w:rFonts w:ascii="Times New Roman" w:cs="Times New Roman" w:eastAsia="Times New Roman" w:hAnsi="Times New Roman"/>
          <w:b w:val="0"/>
          <w:i w:val="0"/>
          <w:sz w:val="22"/>
          <w:szCs w:val="22"/>
          <w:rtl w:val="0"/>
        </w:rPr>
        <w:t xml:space="preserve">black cast called Porgy and Bess. This composer’s brother, Ira, often provided lyrics for this man’s songs. For 10 points, name this American composer of “An American in Paris” and “Rhapsody in Blue.”</w:t>
      </w:r>
      <w:r w:rsidDel="00000000" w:rsidR="00000000" w:rsidRPr="00000000">
        <w:rPr>
          <w:rtl w:val="0"/>
        </w:rPr>
      </w:r>
    </w:p>
    <w:p w:rsidR="00000000" w:rsidDel="00000000" w:rsidP="00000000" w:rsidRDefault="00000000" w:rsidRPr="00000000" w14:paraId="0000002F">
      <w:pPr>
        <w:spacing w:line="248.00000000000006" w:lineRule="auto"/>
        <w:ind w:left="1440" w:right="813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George </w:t>
      </w:r>
      <w:r w:rsidDel="00000000" w:rsidR="00000000" w:rsidRPr="00000000">
        <w:rPr>
          <w:rFonts w:ascii="Times New Roman" w:cs="Times New Roman" w:eastAsia="Times New Roman" w:hAnsi="Times New Roman"/>
          <w:b w:val="1"/>
          <w:sz w:val="22"/>
          <w:szCs w:val="22"/>
          <w:u w:val="single"/>
          <w:rtl w:val="0"/>
        </w:rPr>
        <w:t xml:space="preserve">Gershwin</w:t>
      </w:r>
      <w:r w:rsidDel="00000000" w:rsidR="00000000" w:rsidRPr="00000000">
        <w:rPr>
          <w:rtl w:val="0"/>
        </w:rPr>
      </w:r>
    </w:p>
    <w:p w:rsidR="00000000" w:rsidDel="00000000" w:rsidP="00000000" w:rsidRDefault="00000000" w:rsidRPr="00000000" w14:paraId="00000030">
      <w:pPr>
        <w:spacing w:line="260" w:lineRule="auto"/>
        <w:rPr>
          <w:sz w:val="26"/>
          <w:szCs w:val="26"/>
        </w:rPr>
      </w:pPr>
      <w:r w:rsidDel="00000000" w:rsidR="00000000" w:rsidRPr="00000000">
        <w:rPr>
          <w:rtl w:val="0"/>
        </w:rPr>
      </w:r>
    </w:p>
    <w:p w:rsidR="00000000" w:rsidDel="00000000" w:rsidP="00000000" w:rsidRDefault="00000000" w:rsidRPr="00000000" w14:paraId="00000031">
      <w:pPr>
        <w:numPr>
          <w:ilvl w:val="0"/>
          <w:numId w:val="1"/>
        </w:numPr>
        <w:tabs>
          <w:tab w:val="left" w:pos="1769"/>
        </w:tabs>
        <w:spacing w:before="71" w:line="276.99999999999994" w:lineRule="auto"/>
        <w:ind w:left="1440" w:right="1554"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Two families of these shapes, named for Apollonius, bisect each other orthogonally. A torus is a surface of revolution created by this shape revolving in three dimensions about a coplanar axis. When this shape is in the center of a (*) </w:t>
      </w:r>
      <w:r w:rsidDel="00000000" w:rsidR="00000000" w:rsidRPr="00000000">
        <w:rPr>
          <w:rFonts w:ascii="Times New Roman" w:cs="Times New Roman" w:eastAsia="Times New Roman" w:hAnsi="Times New Roman"/>
          <w:b w:val="0"/>
          <w:sz w:val="22"/>
          <w:szCs w:val="22"/>
          <w:rtl w:val="0"/>
        </w:rPr>
        <w:t xml:space="preserve">Cartesian plane, it can be defined by the equation x squared plus y squared equals r squared. This shape has an eccentricity of zero and can be drawn by a compass. For 10 points, name this shape that is defined with all its points equidistant from its center.</w:t>
      </w:r>
      <w:r w:rsidDel="00000000" w:rsidR="00000000" w:rsidRPr="00000000">
        <w:rPr>
          <w:rtl w:val="0"/>
        </w:rPr>
      </w:r>
    </w:p>
    <w:p w:rsidR="00000000" w:rsidDel="00000000" w:rsidP="00000000" w:rsidRDefault="00000000" w:rsidRPr="00000000" w14:paraId="00000032">
      <w:pPr>
        <w:spacing w:line="246.99999999999994" w:lineRule="auto"/>
        <w:ind w:left="144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circle </w:t>
      </w:r>
      <w:r w:rsidDel="00000000" w:rsidR="00000000" w:rsidRPr="00000000">
        <w:rPr>
          <w:rtl w:val="0"/>
        </w:rPr>
      </w:r>
    </w:p>
    <w:p w:rsidR="00000000" w:rsidDel="00000000" w:rsidP="00000000" w:rsidRDefault="00000000" w:rsidRPr="00000000" w14:paraId="00000033">
      <w:pPr>
        <w:spacing w:line="260" w:lineRule="auto"/>
        <w:rPr>
          <w:sz w:val="26"/>
          <w:szCs w:val="26"/>
        </w:rPr>
      </w:pPr>
      <w:r w:rsidDel="00000000" w:rsidR="00000000" w:rsidRPr="00000000">
        <w:rPr>
          <w:rtl w:val="0"/>
        </w:rPr>
      </w:r>
    </w:p>
    <w:p w:rsidR="00000000" w:rsidDel="00000000" w:rsidP="00000000" w:rsidRDefault="00000000" w:rsidRPr="00000000" w14:paraId="00000034">
      <w:pPr>
        <w:numPr>
          <w:ilvl w:val="0"/>
          <w:numId w:val="1"/>
        </w:numPr>
        <w:tabs>
          <w:tab w:val="left" w:pos="1769"/>
        </w:tabs>
        <w:spacing w:before="71" w:line="276.99999999999994" w:lineRule="auto"/>
        <w:ind w:left="1440" w:right="1443"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Charles Chauncy’s opposition to this movement’s stance on predestination and free will split the Congregationalist churches into the Old Lights and New Lights ideologies. Englishman (*) </w:t>
      </w:r>
      <w:r w:rsidDel="00000000" w:rsidR="00000000" w:rsidRPr="00000000">
        <w:rPr>
          <w:rFonts w:ascii="Times New Roman" w:cs="Times New Roman" w:eastAsia="Times New Roman" w:hAnsi="Times New Roman"/>
          <w:b w:val="0"/>
          <w:sz w:val="22"/>
          <w:szCs w:val="22"/>
          <w:rtl w:val="0"/>
        </w:rPr>
        <w:t xml:space="preserve">George Whitefield toured New England during this movement and Jonathan Edwards preached of a spider hanging over a fiery pit by a thread in his sermon Sinners in the Hands of an Angry God. For 10 points, name this 18th century religious movement that saw the rise of Christian evangelicalism.</w:t>
      </w:r>
      <w:r w:rsidDel="00000000" w:rsidR="00000000" w:rsidRPr="00000000">
        <w:rPr>
          <w:rtl w:val="0"/>
        </w:rPr>
      </w:r>
    </w:p>
    <w:p w:rsidR="00000000" w:rsidDel="00000000" w:rsidP="00000000" w:rsidRDefault="00000000" w:rsidRPr="00000000" w14:paraId="00000035">
      <w:pPr>
        <w:spacing w:line="246.99999999999994" w:lineRule="auto"/>
        <w:ind w:left="1440" w:right="1446"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First  Great  Awakening </w:t>
      </w:r>
      <w:r w:rsidDel="00000000" w:rsidR="00000000" w:rsidRPr="00000000">
        <w:rPr>
          <w:rFonts w:ascii="Times New Roman" w:cs="Times New Roman" w:eastAsia="Times New Roman" w:hAnsi="Times New Roman"/>
          <w:b w:val="0"/>
          <w:sz w:val="22"/>
          <w:szCs w:val="22"/>
          <w:u w:val="none"/>
          <w:rtl w:val="0"/>
        </w:rPr>
        <w:t xml:space="preserve">(accept Evangelical Revival before “evangelicalism” is read; prompt</w:t>
      </w: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440" w:right="316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“Great Awakening” alone; do not accept or prompt on “Second Great Awakening”)</w:t>
      </w:r>
    </w:p>
    <w:p w:rsidR="00000000" w:rsidDel="00000000" w:rsidP="00000000" w:rsidRDefault="00000000" w:rsidRPr="00000000" w14:paraId="00000037">
      <w:pPr>
        <w:spacing w:before="2" w:line="130" w:lineRule="auto"/>
        <w:rPr>
          <w:sz w:val="13"/>
          <w:szCs w:val="13"/>
        </w:rPr>
      </w:pPr>
      <w:r w:rsidDel="00000000" w:rsidR="00000000" w:rsidRPr="00000000">
        <w:rPr>
          <w:rtl w:val="0"/>
        </w:rPr>
      </w:r>
    </w:p>
    <w:p w:rsidR="00000000" w:rsidDel="00000000" w:rsidP="00000000" w:rsidRDefault="00000000" w:rsidRPr="00000000" w14:paraId="00000038">
      <w:pPr>
        <w:spacing w:line="200" w:lineRule="auto"/>
        <w:rPr>
          <w:sz w:val="20"/>
          <w:szCs w:val="20"/>
        </w:rPr>
      </w:pPr>
      <w:r w:rsidDel="00000000" w:rsidR="00000000" w:rsidRPr="00000000">
        <w:rPr>
          <w:rtl w:val="0"/>
        </w:rPr>
      </w:r>
    </w:p>
    <w:p w:rsidR="00000000" w:rsidDel="00000000" w:rsidP="00000000" w:rsidRDefault="00000000" w:rsidRPr="00000000" w14:paraId="00000039">
      <w:pPr>
        <w:numPr>
          <w:ilvl w:val="0"/>
          <w:numId w:val="1"/>
        </w:numPr>
        <w:tabs>
          <w:tab w:val="left" w:pos="1799"/>
        </w:tabs>
        <w:spacing w:line="276.99999999999994" w:lineRule="auto"/>
        <w:ind w:left="1440" w:right="1442" w:firstLine="0"/>
        <w:jc w:val="both"/>
        <w:rPr>
          <w:rFonts w:ascii="Times New Roman" w:cs="Times New Roman" w:eastAsia="Times New Roman" w:hAnsi="Times New Roman"/>
          <w:sz w:val="22"/>
          <w:szCs w:val="22"/>
        </w:rPr>
        <w:sectPr>
          <w:type w:val="nextPage"/>
          <w:pgSz w:h="15840" w:w="12240" w:orient="portrait"/>
          <w:pgMar w:bottom="0" w:top="1360" w:left="0" w:right="0" w:header="0" w:footer="0"/>
        </w:sectPr>
      </w:pPr>
      <w:r w:rsidDel="00000000" w:rsidR="00000000" w:rsidRPr="00000000">
        <w:rPr>
          <w:rFonts w:ascii="Times New Roman" w:cs="Times New Roman" w:eastAsia="Times New Roman" w:hAnsi="Times New Roman"/>
          <w:b w:val="1"/>
          <w:sz w:val="22"/>
          <w:szCs w:val="22"/>
          <w:rtl w:val="0"/>
        </w:rPr>
        <w:t xml:space="preserve">To the north, this desert is bordered by the Great Basin desert and to the south and east it is bordered by the Sonoran desert. This desert lies between the Garlock and (*) </w:t>
      </w:r>
      <w:r w:rsidDel="00000000" w:rsidR="00000000" w:rsidRPr="00000000">
        <w:rPr>
          <w:rFonts w:ascii="Times New Roman" w:cs="Times New Roman" w:eastAsia="Times New Roman" w:hAnsi="Times New Roman"/>
          <w:b w:val="0"/>
          <w:sz w:val="22"/>
          <w:szCs w:val="22"/>
          <w:rtl w:val="0"/>
        </w:rPr>
        <w:t xml:space="preserve">San Andreas faults and is bounded by the San Gabriel and San Bernardino mountain ranges. This desert is often associated with</w:t>
      </w: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69" w:line="284" w:lineRule="auto"/>
        <w:ind w:left="1440" w:right="144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Joshua trees that are native there. The lowest and driest point in North America, Death Valley, is located in, for 10 points, what desert in California and Nevada?</w:t>
      </w:r>
    </w:p>
    <w:p w:rsidR="00000000" w:rsidDel="00000000" w:rsidP="00000000" w:rsidRDefault="00000000" w:rsidRPr="00000000" w14:paraId="0000003B">
      <w:pPr>
        <w:spacing w:line="240" w:lineRule="auto"/>
        <w:ind w:left="1440" w:right="693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w:t>
      </w:r>
      <w:r w:rsidDel="00000000" w:rsidR="00000000" w:rsidRPr="00000000">
        <w:rPr>
          <w:rFonts w:ascii="Times New Roman" w:cs="Times New Roman" w:eastAsia="Times New Roman" w:hAnsi="Times New Roman"/>
          <w:b w:val="1"/>
          <w:sz w:val="22"/>
          <w:szCs w:val="22"/>
          <w:u w:val="single"/>
          <w:rtl w:val="0"/>
        </w:rPr>
        <w:t xml:space="preserve">Mojave  </w:t>
      </w:r>
      <w:r w:rsidDel="00000000" w:rsidR="00000000" w:rsidRPr="00000000">
        <w:rPr>
          <w:rFonts w:ascii="Times New Roman" w:cs="Times New Roman" w:eastAsia="Times New Roman" w:hAnsi="Times New Roman"/>
          <w:b w:val="0"/>
          <w:sz w:val="22"/>
          <w:szCs w:val="22"/>
          <w:u w:val="none"/>
          <w:rtl w:val="0"/>
        </w:rPr>
        <w:t xml:space="preserve">[moh-HAH-vay] desert</w:t>
      </w:r>
      <w:r w:rsidDel="00000000" w:rsidR="00000000" w:rsidRPr="00000000">
        <w:rPr>
          <w:rtl w:val="0"/>
        </w:rPr>
      </w:r>
    </w:p>
    <w:p w:rsidR="00000000" w:rsidDel="00000000" w:rsidP="00000000" w:rsidRDefault="00000000" w:rsidRPr="00000000" w14:paraId="0000003C">
      <w:pPr>
        <w:numPr>
          <w:ilvl w:val="0"/>
          <w:numId w:val="1"/>
        </w:numPr>
        <w:tabs>
          <w:tab w:val="left" w:pos="1829"/>
        </w:tabs>
        <w:spacing w:before="47" w:line="273" w:lineRule="auto"/>
        <w:ind w:left="1440" w:right="1441"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The “mimi” type is the largest of these entities, while the smallest contains only one open reading frame. These entities can include either single stranded or double stranded (*) </w:t>
      </w:r>
      <w:r w:rsidDel="00000000" w:rsidR="00000000" w:rsidRPr="00000000">
        <w:rPr>
          <w:rFonts w:ascii="Times New Roman" w:cs="Times New Roman" w:eastAsia="Times New Roman" w:hAnsi="Times New Roman"/>
          <w:b w:val="0"/>
          <w:sz w:val="22"/>
          <w:szCs w:val="22"/>
          <w:rtl w:val="0"/>
        </w:rPr>
        <w:t xml:space="preserve">DNA or RNA, which are packaged in protein coats called capsids. Lysogenic kinds of these entities inject their genetic material into a host. Reverse transcriptase is used by the retro type of these entities like HIV. For 10 points, name these infectious agents that include tobacco mosaic and influenza varieties.</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440" w:right="34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virus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(accept coronavirus(es); accept retrovirus(es) before it is read)</w:t>
      </w:r>
    </w:p>
    <w:p w:rsidR="00000000" w:rsidDel="00000000" w:rsidP="00000000" w:rsidRDefault="00000000" w:rsidRPr="00000000" w14:paraId="0000003E">
      <w:pPr>
        <w:spacing w:before="5" w:line="240" w:lineRule="auto"/>
        <w:rPr>
          <w:sz w:val="24"/>
          <w:szCs w:val="24"/>
        </w:rPr>
      </w:pPr>
      <w:r w:rsidDel="00000000" w:rsidR="00000000" w:rsidRPr="00000000">
        <w:rPr>
          <w:rtl w:val="0"/>
        </w:rPr>
      </w:r>
    </w:p>
    <w:p w:rsidR="00000000" w:rsidDel="00000000" w:rsidP="00000000" w:rsidRDefault="00000000" w:rsidRPr="00000000" w14:paraId="0000003F">
      <w:pPr>
        <w:numPr>
          <w:ilvl w:val="0"/>
          <w:numId w:val="1"/>
        </w:numPr>
        <w:tabs>
          <w:tab w:val="left" w:pos="1799"/>
        </w:tabs>
        <w:spacing w:before="71" w:line="276" w:lineRule="auto"/>
        <w:ind w:left="1440" w:right="1442"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 quote by this psychologist is often taken out of context where this man supposedly suggests manipulating a “dozen healthy infants” to be “any type of specialist.” With Harvey A. Carr, this man studied stimuli and responses on rats in his (*) </w:t>
      </w:r>
      <w:r w:rsidDel="00000000" w:rsidR="00000000" w:rsidRPr="00000000">
        <w:rPr>
          <w:rFonts w:ascii="Times New Roman" w:cs="Times New Roman" w:eastAsia="Times New Roman" w:hAnsi="Times New Roman"/>
          <w:b w:val="0"/>
          <w:sz w:val="22"/>
          <w:szCs w:val="22"/>
          <w:rtl w:val="0"/>
        </w:rPr>
        <w:t xml:space="preserve">Kerplunk experiment. In an experiment by this psychologist, an eleven month old boy was presented with furry objects that were accompanied by a loud, frightening sound. For 10 points, name this psychologist who conducted the Little Albert experiment.</w:t>
      </w:r>
      <w:r w:rsidDel="00000000" w:rsidR="00000000" w:rsidRPr="00000000">
        <w:rPr>
          <w:rtl w:val="0"/>
        </w:rPr>
      </w:r>
    </w:p>
    <w:p w:rsidR="00000000" w:rsidDel="00000000" w:rsidP="00000000" w:rsidRDefault="00000000" w:rsidRPr="00000000" w14:paraId="00000040">
      <w:pPr>
        <w:numPr>
          <w:ilvl w:val="0"/>
          <w:numId w:val="1"/>
        </w:numPr>
        <w:tabs>
          <w:tab w:val="left" w:pos="1799"/>
        </w:tabs>
        <w:spacing w:before="71" w:line="276" w:lineRule="auto"/>
        <w:ind w:left="1440" w:right="1442"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ANSWER: John B. </w:t>
      </w:r>
      <w:r w:rsidDel="00000000" w:rsidR="00000000" w:rsidRPr="00000000">
        <w:rPr>
          <w:rFonts w:ascii="Times New Roman" w:cs="Times New Roman" w:eastAsia="Times New Roman" w:hAnsi="Times New Roman"/>
          <w:b w:val="1"/>
          <w:sz w:val="22"/>
          <w:szCs w:val="22"/>
          <w:u w:val="single"/>
          <w:rtl w:val="0"/>
        </w:rPr>
        <w:t xml:space="preserve">Watson </w:t>
      </w:r>
      <w:r w:rsidDel="00000000" w:rsidR="00000000" w:rsidRPr="00000000">
        <w:rPr>
          <w:rtl w:val="0"/>
        </w:rPr>
      </w:r>
    </w:p>
    <w:p w:rsidR="00000000" w:rsidDel="00000000" w:rsidP="00000000" w:rsidRDefault="00000000" w:rsidRPr="00000000" w14:paraId="00000041">
      <w:pPr>
        <w:spacing w:before="4" w:line="220" w:lineRule="auto"/>
        <w:rPr>
          <w:sz w:val="22"/>
          <w:szCs w:val="22"/>
        </w:rPr>
      </w:pPr>
      <w:r w:rsidDel="00000000" w:rsidR="00000000" w:rsidRPr="00000000">
        <w:rPr>
          <w:rtl w:val="0"/>
        </w:rPr>
      </w:r>
    </w:p>
    <w:p w:rsidR="00000000" w:rsidDel="00000000" w:rsidP="00000000" w:rsidRDefault="00000000" w:rsidRPr="00000000" w14:paraId="00000042">
      <w:pPr>
        <w:numPr>
          <w:ilvl w:val="0"/>
          <w:numId w:val="1"/>
        </w:numPr>
        <w:tabs>
          <w:tab w:val="left" w:pos="1784"/>
        </w:tabs>
        <w:spacing w:before="71" w:line="276.99999999999994" w:lineRule="auto"/>
        <w:ind w:left="1440" w:right="144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 molecule of this element bonded to a nitride produces a cubic lattice which is comparable in strength to diamond. A organic compound that contains a bond of carbon and this element is a reactant in the (*) </w:t>
      </w:r>
      <w:r w:rsidDel="00000000" w:rsidR="00000000" w:rsidRPr="00000000">
        <w:rPr>
          <w:rFonts w:ascii="Times New Roman" w:cs="Times New Roman" w:eastAsia="Times New Roman" w:hAnsi="Times New Roman"/>
          <w:b w:val="0"/>
          <w:sz w:val="22"/>
          <w:szCs w:val="22"/>
          <w:rtl w:val="0"/>
        </w:rPr>
        <w:t xml:space="preserve">Suzuki reaction. One isotope of this element is commonly used in neutron capture therapy. This element’s trioxide is used in fiberglass and it is used to dope p-type semiconductors. For 10 points, name this element identified by its five protons and symbol B.</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1440" w:right="660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ANSWER: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boron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(accept “B” before it is read)</w:t>
      </w:r>
    </w:p>
    <w:sectPr>
      <w:type w:val="nextPage"/>
      <w:pgSz w:h="15840" w:w="12240" w:orient="portrait"/>
      <w:pgMar w:bottom="0" w:top="136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spacing w:line="16" w:lineRule="auto"/>
      <w:rPr>
        <w:sz w:val="4"/>
        <w:szCs w:val="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0" w:hanging="250"/>
      </w:pPr>
      <w:rPr>
        <w:rFonts w:ascii="Times New Roman" w:cs="Times New Roman" w:eastAsia="Times New Roman" w:hAnsi="Times New Roman"/>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hanging="250"/>
      </w:pPr>
      <w:rPr>
        <w:rFonts w:ascii="Times New Roman" w:cs="Times New Roman" w:eastAsia="Times New Roman" w:hAnsi="Times New Roman"/>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0" w:lineRule="auto"/>
      <w:ind w:left="65"/>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style>
  <w:style w:type="paragraph" w:styleId="BodyText">
    <w:name w:val="Body Text"/>
    <w:basedOn w:val="Normal"/>
    <w:uiPriority w:val="1"/>
    <w:qFormat w:val="1"/>
    <w:pPr>
      <w:ind w:left="1440"/>
    </w:pPr>
    <w:rPr>
      <w:rFonts w:ascii="Times New Roman" w:eastAsia="Times New Roman" w:hAnsi="Times New Roman"/>
      <w:sz w:val="22"/>
      <w:szCs w:val="22"/>
    </w:rPr>
  </w:style>
  <w:style w:type="paragraph" w:styleId="Heading1">
    <w:name w:val="Heading 1"/>
    <w:basedOn w:val="Normal"/>
    <w:uiPriority w:val="1"/>
    <w:qFormat w:val="1"/>
    <w:pPr>
      <w:spacing w:before="10"/>
      <w:ind w:left="65"/>
      <w:outlineLvl w:val="1"/>
    </w:pPr>
    <w:rPr>
      <w:rFonts w:ascii="Times New Roman" w:eastAsia="Times New Roman" w:hAnsi="Times New Roman"/>
      <w:b w:val="1"/>
      <w:bCs w:val="1"/>
      <w:sz w:val="22"/>
      <w:szCs w:val="22"/>
    </w:rPr>
  </w:style>
  <w:style w:type="paragraph" w:styleId="ListParagraph">
    <w:name w:val="List Paragraph"/>
    <w:basedOn w:val="Normal"/>
    <w:uiPriority w:val="1"/>
    <w:qFormat w:val="1"/>
    <w:pPr/>
    <w:rPr/>
  </w:style>
  <w:style w:type="paragraph" w:styleId="TableParagraph">
    <w:name w:val="Table Paragraph"/>
    <w:basedOn w:val="Normal"/>
    <w:uiPriority w:val="1"/>
    <w:qFormat w:val="1"/>
    <w:pP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yhADXmOjUcNUmQf94crG+WBdzQ==">AMUW2mWg0uHkW5oq+ghlyG3em6vlo8I+D3lAgmdPvz8HCf58RWU47EO2n4n5RzJj1Kn6Fm5vNeyLqf3J7diZ42XxxwjcYIAfmkxaUF7pDd//G0Sk1Z+j2fE=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2021-04-11T12:29:32Z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2021-04-11T00:00:00Z</vt:filetime>
  </property>
  <property fmtid="{D5CDD505-2E9C-101B-9397-08002B2CF9AE}" pid="3" name="LastSaved">
    <vt:filetime>2021-04-11T00:00:00Z</vt:filetime>
  </property>
</Properties>
</file>