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29AF" w14:textId="35F35443" w:rsidR="00AD60A8" w:rsidRDefault="00880FB1" w:rsidP="00CA4833">
      <w:pPr>
        <w:spacing w:line="360" w:lineRule="auto"/>
        <w:jc w:val="center"/>
        <w:rPr>
          <w:rFonts w:ascii="Times New Roman" w:hAnsi="Times New Roman" w:cs="Times New Roman"/>
          <w:b/>
          <w:bCs/>
          <w:color w:val="0070C0"/>
          <w:sz w:val="56"/>
          <w:szCs w:val="56"/>
        </w:rPr>
      </w:pPr>
      <w:r>
        <w:rPr>
          <w:noProof/>
        </w:rPr>
        <w:drawing>
          <wp:anchor distT="0" distB="0" distL="114300" distR="114300" simplePos="0" relativeHeight="251660288" behindDoc="0" locked="0" layoutInCell="1" allowOverlap="1" wp14:anchorId="249FF95B" wp14:editId="768CBB7A">
            <wp:simplePos x="0" y="0"/>
            <wp:positionH relativeFrom="margin">
              <wp:align>right</wp:align>
            </wp:positionH>
            <wp:positionV relativeFrom="paragraph">
              <wp:posOffset>-328295</wp:posOffset>
            </wp:positionV>
            <wp:extent cx="2971800" cy="685800"/>
            <wp:effectExtent l="0" t="0" r="0" b="0"/>
            <wp:wrapNone/>
            <wp:docPr id="1380683841" name="Image 5" descr="UFR3S - Faculté des sciences du sport et de l'éducation physi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FR3S - Faculté des sciences du sport et de l'éducation physique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778" t="17316" r="2646" b="16226"/>
                    <a:stretch>
                      <a:fillRect/>
                    </a:stretch>
                  </pic:blipFill>
                  <pic:spPr bwMode="auto">
                    <a:xfrm>
                      <a:off x="0" y="0"/>
                      <a:ext cx="2971800" cy="685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493532" w14:textId="62E99483" w:rsidR="00AD60A8" w:rsidRDefault="00AD60A8" w:rsidP="00AD60A8">
      <w:pPr>
        <w:spacing w:line="360" w:lineRule="auto"/>
        <w:rPr>
          <w:rFonts w:ascii="Times New Roman" w:hAnsi="Times New Roman" w:cs="Times New Roman"/>
          <w:b/>
          <w:bCs/>
          <w:color w:val="0070C0"/>
          <w:sz w:val="56"/>
          <w:szCs w:val="56"/>
        </w:rPr>
      </w:pPr>
    </w:p>
    <w:p w14:paraId="5601FB63" w14:textId="0E6BD013" w:rsidR="00AD60A8" w:rsidRDefault="00AD60A8" w:rsidP="00AD60A8">
      <w:pPr>
        <w:spacing w:line="360" w:lineRule="auto"/>
        <w:rPr>
          <w:rFonts w:ascii="Times New Roman" w:hAnsi="Times New Roman" w:cs="Times New Roman"/>
          <w:b/>
          <w:bCs/>
          <w:color w:val="0070C0"/>
          <w:sz w:val="56"/>
          <w:szCs w:val="56"/>
        </w:rPr>
      </w:pPr>
    </w:p>
    <w:p w14:paraId="586EABF3" w14:textId="2B61F603" w:rsidR="00AD60A8" w:rsidRDefault="00AD60A8" w:rsidP="00AD60A8">
      <w:pPr>
        <w:spacing w:line="360" w:lineRule="auto"/>
        <w:rPr>
          <w:rFonts w:ascii="Times New Roman" w:hAnsi="Times New Roman" w:cs="Times New Roman"/>
          <w:b/>
          <w:bCs/>
          <w:color w:val="0070C0"/>
          <w:sz w:val="56"/>
          <w:szCs w:val="56"/>
        </w:rPr>
      </w:pPr>
    </w:p>
    <w:p w14:paraId="21F5CF85" w14:textId="4A51B98C" w:rsidR="00E97CD7" w:rsidRPr="00AD60A8" w:rsidRDefault="00CA4833" w:rsidP="00CA4833">
      <w:pPr>
        <w:spacing w:line="360" w:lineRule="auto"/>
        <w:jc w:val="center"/>
        <w:rPr>
          <w:rFonts w:ascii="Times New Roman" w:hAnsi="Times New Roman" w:cs="Times New Roman"/>
          <w:b/>
          <w:bCs/>
          <w:color w:val="000000" w:themeColor="text1"/>
          <w:sz w:val="32"/>
          <w:szCs w:val="32"/>
        </w:rPr>
      </w:pPr>
      <w:r w:rsidRPr="00AD60A8">
        <w:rPr>
          <w:rFonts w:ascii="Times New Roman" w:hAnsi="Times New Roman" w:cs="Times New Roman"/>
          <w:b/>
          <w:bCs/>
          <w:color w:val="000000" w:themeColor="text1"/>
          <w:sz w:val="32"/>
          <w:szCs w:val="32"/>
        </w:rPr>
        <w:t>Analyse bibliométrique des thèmes et tendances de recherche sur les facteurs environnementaux et le trouble du spectre de l’autisme chez l’enfant</w:t>
      </w:r>
    </w:p>
    <w:p w14:paraId="6E26EDE4" w14:textId="7750EEC2" w:rsidR="00EC4185" w:rsidRPr="00360574" w:rsidRDefault="00EC4185" w:rsidP="00A608E3">
      <w:pPr>
        <w:spacing w:line="360" w:lineRule="auto"/>
        <w:jc w:val="both"/>
        <w:rPr>
          <w:rFonts w:ascii="Times New Roman" w:hAnsi="Times New Roman" w:cs="Times New Roman"/>
          <w:b/>
          <w:bCs/>
          <w:sz w:val="32"/>
          <w:szCs w:val="32"/>
        </w:rPr>
      </w:pPr>
    </w:p>
    <w:p w14:paraId="526300C1" w14:textId="1E53030F" w:rsidR="00AD60A8" w:rsidRPr="000E710C" w:rsidRDefault="00586135" w:rsidP="000E710C">
      <w:pPr>
        <w:spacing w:line="360" w:lineRule="auto"/>
        <w:jc w:val="center"/>
        <w:rPr>
          <w:rFonts w:ascii="Times New Roman" w:hAnsi="Times New Roman" w:cs="Times New Roman"/>
          <w:i/>
          <w:iCs/>
          <w:sz w:val="24"/>
          <w:szCs w:val="24"/>
        </w:rPr>
        <w:sectPr w:rsidR="00AD60A8" w:rsidRPr="000E710C" w:rsidSect="00A97E13">
          <w:footerReference w:type="default" r:id="rId9"/>
          <w:pgSz w:w="11906" w:h="16838"/>
          <w:pgMar w:top="1417" w:right="1417" w:bottom="1417" w:left="1417" w:header="708" w:footer="708" w:gutter="0"/>
          <w:pgNumType w:start="1"/>
          <w:cols w:space="708"/>
          <w:docGrid w:linePitch="360"/>
        </w:sectPr>
      </w:pPr>
      <w:r>
        <w:rPr>
          <w:rFonts w:ascii="Times New Roman" w:hAnsi="Times New Roman" w:cs="Times New Roman"/>
          <w:i/>
          <w:iCs/>
          <w:sz w:val="24"/>
          <w:szCs w:val="24"/>
        </w:rPr>
        <w:t xml:space="preserve">Benjamin GINHOUYA, </w:t>
      </w:r>
      <w:r w:rsidR="000E710C">
        <w:rPr>
          <w:rFonts w:ascii="Times New Roman" w:hAnsi="Times New Roman" w:cs="Times New Roman"/>
          <w:i/>
          <w:iCs/>
          <w:sz w:val="24"/>
          <w:szCs w:val="24"/>
        </w:rPr>
        <w:t xml:space="preserve">Douâe AAZOUZ, </w:t>
      </w:r>
      <w:r w:rsidR="00AD60A8" w:rsidRPr="00AD60A8">
        <w:rPr>
          <w:rFonts w:ascii="Times New Roman" w:hAnsi="Times New Roman" w:cs="Times New Roman"/>
          <w:i/>
          <w:iCs/>
          <w:sz w:val="24"/>
          <w:szCs w:val="24"/>
        </w:rPr>
        <w:t>Hippolyte A</w:t>
      </w:r>
      <w:r w:rsidR="00AD60A8" w:rsidRPr="00AD60A8">
        <w:t xml:space="preserve"> </w:t>
      </w:r>
      <w:r w:rsidR="00AD60A8" w:rsidRPr="00AD60A8">
        <w:rPr>
          <w:rFonts w:ascii="Times New Roman" w:hAnsi="Times New Roman" w:cs="Times New Roman"/>
          <w:i/>
          <w:iCs/>
          <w:sz w:val="24"/>
          <w:szCs w:val="24"/>
        </w:rPr>
        <w:t>DECHIAN</w:t>
      </w:r>
      <w:r w:rsidR="00AD60A8" w:rsidRPr="00AD60A8">
        <w:rPr>
          <w:rFonts w:ascii="Times New Roman" w:hAnsi="Times New Roman" w:cs="Times New Roman"/>
          <w:i/>
          <w:iCs/>
          <w:sz w:val="24"/>
          <w:szCs w:val="24"/>
        </w:rPr>
        <w:t xml:space="preserve">, </w:t>
      </w:r>
      <w:r w:rsidR="00F322ED" w:rsidRPr="00AD60A8">
        <w:rPr>
          <w:rFonts w:ascii="Times New Roman" w:hAnsi="Times New Roman" w:cs="Times New Roman"/>
          <w:i/>
          <w:iCs/>
          <w:sz w:val="24"/>
          <w:szCs w:val="24"/>
        </w:rPr>
        <w:t>Joseph Giovanni AGBAHOUNGBA</w:t>
      </w:r>
      <w:bookmarkStart w:id="0" w:name="_Toc221394025"/>
      <w:r w:rsidR="000E710C">
        <w:rPr>
          <w:rFonts w:ascii="Times New Roman" w:hAnsi="Times New Roman" w:cs="Times New Roman"/>
          <w:i/>
          <w:iCs/>
          <w:sz w:val="24"/>
          <w:szCs w:val="24"/>
        </w:rPr>
        <w:t>, Séphora KOKODÉ</w:t>
      </w:r>
    </w:p>
    <w:p w14:paraId="2D1603FC" w14:textId="77777777" w:rsidR="00A11DFB" w:rsidRPr="00360574" w:rsidRDefault="00A11DFB" w:rsidP="00A11DFB">
      <w:pPr>
        <w:pStyle w:val="Titre1"/>
        <w:spacing w:before="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Sommaire</w:t>
      </w:r>
      <w:bookmarkEnd w:id="0"/>
    </w:p>
    <w:p w14:paraId="40A3A1F4" w14:textId="3EA9609A" w:rsidR="004D17BE" w:rsidRPr="004D17BE" w:rsidRDefault="00A11DFB" w:rsidP="004D17BE">
      <w:pPr>
        <w:pStyle w:val="TM1"/>
        <w:tabs>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\u </w:instrText>
      </w:r>
      <w:r>
        <w:rPr>
          <w:rFonts w:ascii="Times New Roman" w:hAnsi="Times New Roman" w:cs="Times New Roman"/>
          <w:sz w:val="24"/>
          <w:szCs w:val="24"/>
        </w:rPr>
        <w:fldChar w:fldCharType="separate"/>
      </w:r>
      <w:r>
        <w:rPr>
          <w:rFonts w:ascii="Times New Roman" w:hAnsi="Times New Roman" w:cs="Times New Roman"/>
          <w:noProof/>
          <w:color w:val="000000" w:themeColor="text1"/>
          <w:sz w:val="24"/>
          <w:szCs w:val="24"/>
        </w:rPr>
        <w:t>Sommaire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_Toc221394025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1</w:t>
      </w:r>
      <w:r>
        <w:rPr>
          <w:rFonts w:ascii="Times New Roman" w:hAnsi="Times New Roman" w:cs="Times New Roman"/>
          <w:noProof/>
          <w:sz w:val="24"/>
          <w:szCs w:val="24"/>
        </w:rPr>
        <w:fldChar w:fldCharType="end"/>
      </w:r>
    </w:p>
    <w:p w14:paraId="6088EB73" w14:textId="2C703C1D" w:rsidR="004D17BE" w:rsidRPr="004D17BE" w:rsidRDefault="004D17BE" w:rsidP="004D17BE">
      <w:pPr>
        <w:pStyle w:val="TM1"/>
        <w:tabs>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Résumé</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_Toc221394026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2</w:t>
      </w:r>
      <w:r>
        <w:rPr>
          <w:rFonts w:ascii="Times New Roman" w:hAnsi="Times New Roman" w:cs="Times New Roman"/>
          <w:noProof/>
          <w:sz w:val="24"/>
          <w:szCs w:val="24"/>
        </w:rPr>
        <w:fldChar w:fldCharType="end"/>
      </w:r>
    </w:p>
    <w:p w14:paraId="7FBD847F" w14:textId="008544D3" w:rsidR="004D17BE" w:rsidRPr="004D17BE" w:rsidRDefault="004D17BE" w:rsidP="004D17BE">
      <w:pPr>
        <w:pStyle w:val="TM1"/>
        <w:tabs>
          <w:tab w:val="left" w:pos="44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1.</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Contexte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_Toc221394027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3</w:t>
      </w:r>
      <w:r>
        <w:rPr>
          <w:rFonts w:ascii="Times New Roman" w:hAnsi="Times New Roman" w:cs="Times New Roman"/>
          <w:noProof/>
          <w:sz w:val="24"/>
          <w:szCs w:val="24"/>
        </w:rPr>
        <w:fldChar w:fldCharType="end"/>
      </w:r>
    </w:p>
    <w:p w14:paraId="249107A8" w14:textId="14C981B3" w:rsidR="004D17BE" w:rsidRPr="004D17BE" w:rsidRDefault="004D17BE" w:rsidP="004D17BE">
      <w:pPr>
        <w:pStyle w:val="TM1"/>
        <w:tabs>
          <w:tab w:val="left" w:pos="44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2.</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Méthode de collecte et de recherche des données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_Toc221394028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5</w:t>
      </w:r>
      <w:r>
        <w:rPr>
          <w:rFonts w:ascii="Times New Roman" w:hAnsi="Times New Roman" w:cs="Times New Roman"/>
          <w:noProof/>
          <w:sz w:val="24"/>
          <w:szCs w:val="24"/>
        </w:rPr>
        <w:fldChar w:fldCharType="end"/>
      </w:r>
    </w:p>
    <w:p w14:paraId="6ADF73E6" w14:textId="2F528540" w:rsidR="004D17BE" w:rsidRPr="004D17BE" w:rsidRDefault="004D17BE" w:rsidP="004D17BE">
      <w:pPr>
        <w:pStyle w:val="TM1"/>
        <w:tabs>
          <w:tab w:val="left" w:pos="44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Résultats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_Toc221394029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7</w:t>
      </w:r>
      <w:r>
        <w:rPr>
          <w:rFonts w:ascii="Times New Roman" w:hAnsi="Times New Roman" w:cs="Times New Roman"/>
          <w:noProof/>
          <w:sz w:val="24"/>
          <w:szCs w:val="24"/>
        </w:rPr>
        <w:fldChar w:fldCharType="end"/>
      </w:r>
    </w:p>
    <w:p w14:paraId="196E1D6B" w14:textId="161F8C49" w:rsidR="004D17BE" w:rsidRPr="004D17BE" w:rsidRDefault="004D17BE" w:rsidP="004D17BE">
      <w:pPr>
        <w:pStyle w:val="TM2"/>
        <w:tabs>
          <w:tab w:val="left" w:pos="96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3.1.</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Analyse de la performance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7</w:t>
      </w:r>
      <w:r>
        <w:rPr>
          <w:rFonts w:ascii="Times New Roman" w:hAnsi="Times New Roman" w:cs="Times New Roman"/>
          <w:noProof/>
          <w:sz w:val="24"/>
          <w:szCs w:val="24"/>
        </w:rPr>
        <w:fldChar w:fldCharType="end"/>
      </w:r>
    </w:p>
    <w:p w14:paraId="306B43D9" w14:textId="125438CA" w:rsidR="004D17BE" w:rsidRPr="004D17BE" w:rsidRDefault="004D17BE" w:rsidP="004D17BE">
      <w:pPr>
        <w:pStyle w:val="TM3"/>
        <w:tabs>
          <w:tab w:val="left" w:pos="120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3.1.1.</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Publications annuelles sur le TSA et les polluants environnementaux</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7</w:t>
      </w:r>
      <w:r>
        <w:rPr>
          <w:rFonts w:ascii="Times New Roman" w:hAnsi="Times New Roman" w:cs="Times New Roman"/>
          <w:noProof/>
          <w:sz w:val="24"/>
          <w:szCs w:val="24"/>
        </w:rPr>
        <w:fldChar w:fldCharType="end"/>
      </w:r>
    </w:p>
    <w:p w14:paraId="1E16BB98" w14:textId="36539F9A" w:rsidR="004D17BE" w:rsidRPr="004D17BE" w:rsidRDefault="004D17BE" w:rsidP="004D17BE">
      <w:pPr>
        <w:pStyle w:val="TM3"/>
        <w:tabs>
          <w:tab w:val="left" w:pos="120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3.1.2.</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Pays et auteurs les plus productifs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_Toc221394032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7</w:t>
      </w:r>
      <w:r>
        <w:rPr>
          <w:rFonts w:ascii="Times New Roman" w:hAnsi="Times New Roman" w:cs="Times New Roman"/>
          <w:noProof/>
          <w:sz w:val="24"/>
          <w:szCs w:val="24"/>
        </w:rPr>
        <w:fldChar w:fldCharType="end"/>
      </w:r>
    </w:p>
    <w:p w14:paraId="69276EF0" w14:textId="4DF8A8A7" w:rsidR="004D17BE" w:rsidRPr="004D17BE" w:rsidRDefault="004D17BE" w:rsidP="004D17BE">
      <w:pPr>
        <w:pStyle w:val="TM3"/>
        <w:tabs>
          <w:tab w:val="left" w:pos="120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3.1.3.</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Fréquence moyenne de citations d’un article par an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_Toc221394033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7</w:t>
      </w:r>
      <w:r>
        <w:rPr>
          <w:rFonts w:ascii="Times New Roman" w:hAnsi="Times New Roman" w:cs="Times New Roman"/>
          <w:noProof/>
          <w:sz w:val="24"/>
          <w:szCs w:val="24"/>
        </w:rPr>
        <w:fldChar w:fldCharType="end"/>
      </w:r>
    </w:p>
    <w:p w14:paraId="28D7DA49" w14:textId="3C71E8DF" w:rsidR="004D17BE" w:rsidRPr="004D17BE" w:rsidRDefault="004D17BE" w:rsidP="004D17BE">
      <w:pPr>
        <w:pStyle w:val="TM3"/>
        <w:tabs>
          <w:tab w:val="left" w:pos="120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3.1.4.</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Nombre moyen total de citations par an sur la période couverte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_Toc221394034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8</w:t>
      </w:r>
      <w:r>
        <w:rPr>
          <w:rFonts w:ascii="Times New Roman" w:hAnsi="Times New Roman" w:cs="Times New Roman"/>
          <w:noProof/>
          <w:sz w:val="24"/>
          <w:szCs w:val="24"/>
        </w:rPr>
        <w:fldChar w:fldCharType="end"/>
      </w:r>
    </w:p>
    <w:p w14:paraId="7BDDE7FA" w14:textId="7EC878FE" w:rsidR="004D17BE" w:rsidRPr="004D17BE" w:rsidRDefault="004D17BE" w:rsidP="004D17BE">
      <w:pPr>
        <w:pStyle w:val="TM3"/>
        <w:tabs>
          <w:tab w:val="left" w:pos="120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3.1.5.</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Les articles les plus cités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_Toc221394035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8</w:t>
      </w:r>
      <w:r>
        <w:rPr>
          <w:rFonts w:ascii="Times New Roman" w:hAnsi="Times New Roman" w:cs="Times New Roman"/>
          <w:noProof/>
          <w:sz w:val="24"/>
          <w:szCs w:val="24"/>
        </w:rPr>
        <w:fldChar w:fldCharType="end"/>
      </w:r>
    </w:p>
    <w:p w14:paraId="0B194A46" w14:textId="2599DB9A" w:rsidR="004D17BE" w:rsidRPr="004D17BE" w:rsidRDefault="004D17BE" w:rsidP="004D17BE">
      <w:pPr>
        <w:pStyle w:val="TM2"/>
        <w:tabs>
          <w:tab w:val="left" w:pos="96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3.2.</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Cartographie scientifique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_Toc221394036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9</w:t>
      </w:r>
      <w:r>
        <w:rPr>
          <w:rFonts w:ascii="Times New Roman" w:hAnsi="Times New Roman" w:cs="Times New Roman"/>
          <w:noProof/>
          <w:sz w:val="24"/>
          <w:szCs w:val="24"/>
        </w:rPr>
        <w:fldChar w:fldCharType="end"/>
      </w:r>
    </w:p>
    <w:p w14:paraId="64431AFF" w14:textId="4CBCC9E2" w:rsidR="004D17BE" w:rsidRPr="004D17BE" w:rsidRDefault="004D17BE" w:rsidP="004D17BE">
      <w:pPr>
        <w:pStyle w:val="TM3"/>
        <w:tabs>
          <w:tab w:val="left" w:pos="120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3.2.1.</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Analyse de co-occurrence des mots / structure conceptuelle du domaine</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_Toc221394037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9</w:t>
      </w:r>
      <w:r>
        <w:rPr>
          <w:rFonts w:ascii="Times New Roman" w:hAnsi="Times New Roman" w:cs="Times New Roman"/>
          <w:noProof/>
          <w:sz w:val="24"/>
          <w:szCs w:val="24"/>
        </w:rPr>
        <w:fldChar w:fldCharType="end"/>
      </w:r>
    </w:p>
    <w:p w14:paraId="7D6F91FC" w14:textId="01A1BED9" w:rsidR="004D17BE" w:rsidRPr="004D17BE" w:rsidRDefault="004D17BE" w:rsidP="004D17BE">
      <w:pPr>
        <w:pStyle w:val="TM1"/>
        <w:tabs>
          <w:tab w:val="left" w:pos="440"/>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4.</w:t>
      </w:r>
      <w:r>
        <w:rPr>
          <w:rFonts w:ascii="Times New Roman" w:eastAsiaTheme="minorEastAsia" w:hAnsi="Times New Roman" w:cs="Times New Roman"/>
          <w:noProof/>
          <w:sz w:val="24"/>
          <w:szCs w:val="24"/>
          <w:lang w:val="fr-029" w:eastAsia="fr-029"/>
        </w:rPr>
        <w:tab/>
      </w:r>
      <w:r>
        <w:rPr>
          <w:rFonts w:ascii="Times New Roman" w:hAnsi="Times New Roman" w:cs="Times New Roman"/>
          <w:noProof/>
          <w:color w:val="000000" w:themeColor="text1"/>
          <w:sz w:val="24"/>
          <w:szCs w:val="24"/>
        </w:rPr>
        <w:t>Discussion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_Toc221394038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11</w:t>
      </w:r>
      <w:r>
        <w:rPr>
          <w:rFonts w:ascii="Times New Roman" w:hAnsi="Times New Roman" w:cs="Times New Roman"/>
          <w:noProof/>
          <w:sz w:val="24"/>
          <w:szCs w:val="24"/>
        </w:rPr>
        <w:fldChar w:fldCharType="end"/>
      </w:r>
    </w:p>
    <w:p w14:paraId="3C405939" w14:textId="24147A22" w:rsidR="004D17BE" w:rsidRPr="004D17BE" w:rsidRDefault="004D17BE" w:rsidP="004D17BE">
      <w:pPr>
        <w:pStyle w:val="TM1"/>
        <w:tabs>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Conclusion</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_Toc221394039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13</w:t>
      </w:r>
      <w:r>
        <w:rPr>
          <w:rFonts w:ascii="Times New Roman" w:hAnsi="Times New Roman" w:cs="Times New Roman"/>
          <w:noProof/>
          <w:sz w:val="24"/>
          <w:szCs w:val="24"/>
        </w:rPr>
        <w:fldChar w:fldCharType="end"/>
      </w:r>
    </w:p>
    <w:p w14:paraId="0BABB01C" w14:textId="0CD590A9" w:rsidR="004D17BE" w:rsidRPr="004D17BE" w:rsidRDefault="004D17BE" w:rsidP="004D17BE">
      <w:pPr>
        <w:pStyle w:val="TM1"/>
        <w:tabs>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Références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_Toc221394040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14</w:t>
      </w:r>
      <w:r>
        <w:rPr>
          <w:rFonts w:ascii="Times New Roman" w:hAnsi="Times New Roman" w:cs="Times New Roman"/>
          <w:noProof/>
          <w:sz w:val="24"/>
          <w:szCs w:val="24"/>
        </w:rPr>
        <w:fldChar w:fldCharType="end"/>
      </w:r>
    </w:p>
    <w:p w14:paraId="548FD1D3" w14:textId="4D928728" w:rsidR="004D17BE" w:rsidRPr="004D17BE" w:rsidRDefault="004D17BE" w:rsidP="004D17BE">
      <w:pPr>
        <w:pStyle w:val="TM1"/>
        <w:tabs>
          <w:tab w:val="right" w:leader="dot" w:pos="9062"/>
        </w:tabs>
        <w:spacing w:line="360" w:lineRule="auto"/>
        <w:rPr>
          <w:rFonts w:ascii="Times New Roman" w:eastAsiaTheme="minorEastAsia" w:hAnsi="Times New Roman" w:cs="Times New Roman"/>
          <w:noProof/>
          <w:sz w:val="24"/>
          <w:szCs w:val="24"/>
          <w:lang w:val="fr-029" w:eastAsia="fr-029"/>
        </w:rPr>
      </w:pPr>
      <w:r>
        <w:rPr>
          <w:rFonts w:ascii="Times New Roman" w:hAnsi="Times New Roman" w:cs="Times New Roman"/>
          <w:noProof/>
          <w:color w:val="000000" w:themeColor="text1"/>
          <w:sz w:val="24"/>
          <w:szCs w:val="24"/>
        </w:rPr>
        <w:t>Annexes</w:t>
      </w:r>
      <w:r>
        <w:rPr>
          <w:rFonts w:ascii="Times New Roman" w:hAnsi="Times New Roman" w:cs="Times New Roman"/>
          <w:noProof/>
          <w:sz w:val="24"/>
          <w:szCs w:val="24"/>
        </w:rPr>
        <w:tab/>
      </w:r>
      <w:r>
        <w:rPr>
          <w:rFonts w:ascii="Times New Roman" w:hAnsi="Times New Roman" w:cs="Times New Roman"/>
          <w:noProof/>
          <w:sz w:val="24"/>
          <w:szCs w:val="24"/>
        </w:rPr>
        <w:fldChar w:fldCharType="begin"/>
      </w:r>
      <w:r>
        <w:rPr>
          <w:rFonts w:ascii="Times New Roman" w:hAnsi="Times New Roman" w:cs="Times New Roman"/>
          <w:noProof/>
          <w:sz w:val="24"/>
          <w:szCs w:val="24"/>
        </w:rPr>
        <w:instrText xml:space="preserve"> PAGEREF _Toc221394041 \h </w:instrText>
      </w:r>
      <w:r>
        <w:rPr>
          <w:rFonts w:ascii="Times New Roman" w:hAnsi="Times New Roman" w:cs="Times New Roman"/>
          <w:noProof/>
          <w:sz w:val="24"/>
          <w:szCs w:val="24"/>
        </w:rPr>
      </w:r>
      <w:r>
        <w:rPr>
          <w:rFonts w:ascii="Times New Roman" w:hAnsi="Times New Roman" w:cs="Times New Roman"/>
          <w:noProof/>
          <w:sz w:val="24"/>
          <w:szCs w:val="24"/>
        </w:rPr>
        <w:fldChar w:fldCharType="separate"/>
      </w:r>
      <w:r w:rsidR="009D3DFA">
        <w:rPr>
          <w:rFonts w:ascii="Times New Roman" w:hAnsi="Times New Roman" w:cs="Times New Roman"/>
          <w:noProof/>
          <w:sz w:val="24"/>
          <w:szCs w:val="24"/>
        </w:rPr>
        <w:t>17</w:t>
      </w:r>
      <w:r>
        <w:rPr>
          <w:rFonts w:ascii="Times New Roman" w:hAnsi="Times New Roman" w:cs="Times New Roman"/>
          <w:noProof/>
          <w:sz w:val="24"/>
          <w:szCs w:val="24"/>
        </w:rPr>
        <w:fldChar w:fldCharType="end"/>
      </w:r>
    </w:p>
    <w:p w14:paraId="2C717993" w14:textId="77777777" w:rsidR="00A11DFB" w:rsidRPr="00360574" w:rsidRDefault="00A11DFB" w:rsidP="004D17BE">
      <w:pPr>
        <w:spacing w:line="360" w:lineRule="auto"/>
        <w:rPr>
          <w:rFonts w:ascii="Times New Roman" w:hAnsi="Times New Roman" w:cs="Times New Roman"/>
        </w:rPr>
        <w:sectPr w:rsidR="00A11DFB" w:rsidRPr="00360574" w:rsidSect="00A97E13">
          <w:footerReference w:type="default" r:id="rId10"/>
          <w:pgSz w:w="11906" w:h="16838"/>
          <w:pgMar w:top="1417" w:right="1417" w:bottom="1417" w:left="1417" w:header="708" w:footer="708" w:gutter="0"/>
          <w:pgNumType w:start="1"/>
          <w:cols w:space="708"/>
          <w:docGrid w:linePitch="360"/>
        </w:sectPr>
      </w:pPr>
      <w:r>
        <w:rPr>
          <w:rFonts w:ascii="Times New Roman" w:hAnsi="Times New Roman" w:cs="Times New Roman"/>
          <w:sz w:val="24"/>
          <w:szCs w:val="24"/>
        </w:rPr>
        <w:fldChar w:fldCharType="end"/>
      </w:r>
    </w:p>
    <w:p w14:paraId="1851C1CA" w14:textId="77777777" w:rsidR="00E97CD7" w:rsidRPr="00360574" w:rsidRDefault="00A11DFB" w:rsidP="00A11DFB">
      <w:pPr>
        <w:pStyle w:val="Titre1"/>
        <w:spacing w:before="0"/>
        <w:rPr>
          <w:rFonts w:ascii="Times New Roman" w:hAnsi="Times New Roman" w:cs="Times New Roman"/>
          <w:b/>
          <w:bCs/>
          <w:color w:val="000000" w:themeColor="text1"/>
          <w:sz w:val="24"/>
          <w:szCs w:val="24"/>
        </w:rPr>
      </w:pPr>
      <w:bookmarkStart w:id="1" w:name="_Toc221394026"/>
      <w:r>
        <w:rPr>
          <w:rFonts w:ascii="Times New Roman" w:hAnsi="Times New Roman" w:cs="Times New Roman"/>
          <w:b/>
          <w:bCs/>
          <w:color w:val="000000" w:themeColor="text1"/>
          <w:sz w:val="24"/>
          <w:szCs w:val="24"/>
        </w:rPr>
        <w:lastRenderedPageBreak/>
        <w:t>Résumé</w:t>
      </w:r>
      <w:bookmarkEnd w:id="1"/>
    </w:p>
    <w:p w14:paraId="13841D81" w14:textId="77777777" w:rsidR="00775CBC" w:rsidRPr="001F3A9A" w:rsidRDefault="00775CBC" w:rsidP="00775CBC">
      <w:pPr>
        <w:spacing w:line="360" w:lineRule="auto"/>
        <w:jc w:val="both"/>
        <w:rPr>
          <w:rFonts w:ascii="Times New Roman" w:hAnsi="Times New Roman" w:cs="Times New Roman"/>
          <w:sz w:val="24"/>
          <w:szCs w:val="24"/>
          <w:lang w:val="fr-029"/>
        </w:rPr>
      </w:pPr>
      <w:r>
        <w:rPr>
          <w:rFonts w:ascii="Times New Roman" w:hAnsi="Times New Roman" w:cs="Times New Roman"/>
          <w:b/>
          <w:bCs/>
          <w:sz w:val="24"/>
          <w:szCs w:val="24"/>
          <w:lang w:val="fr-029"/>
        </w:rPr>
        <w:t>Contexte :</w:t>
      </w:r>
      <w:r>
        <w:rPr>
          <w:rFonts w:ascii="Times New Roman" w:hAnsi="Times New Roman" w:cs="Times New Roman"/>
          <w:sz w:val="24"/>
          <w:szCs w:val="24"/>
          <w:lang w:val="fr-029"/>
        </w:rPr>
        <w:t xml:space="preserve"> Le trouble du spectre de l’autisme (TSA) est un trouble neurodéveloppemental caractérisé par des troubles sociaux, des intérêts restreints et des comportements stéréotypés répétitifs. Les preuves suggèrent que les polluants environnementaux sont associés au TSA. Cette étude bibliométrique visait à synthétiser les thèmes et les tendances de la recherche sur le TSA chez l’enfant et les polluants environnementaux.</w:t>
      </w:r>
    </w:p>
    <w:p w14:paraId="4E6C9D67" w14:textId="77777777" w:rsidR="00775CBC" w:rsidRPr="001F3A9A" w:rsidRDefault="00775CBC" w:rsidP="00775CBC">
      <w:pPr>
        <w:spacing w:line="360" w:lineRule="auto"/>
        <w:jc w:val="both"/>
        <w:rPr>
          <w:rFonts w:ascii="Times New Roman" w:hAnsi="Times New Roman" w:cs="Times New Roman"/>
          <w:sz w:val="24"/>
          <w:szCs w:val="24"/>
          <w:lang w:val="fr-029"/>
        </w:rPr>
      </w:pPr>
      <w:r>
        <w:rPr>
          <w:rFonts w:ascii="Times New Roman" w:hAnsi="Times New Roman" w:cs="Times New Roman"/>
          <w:b/>
          <w:bCs/>
          <w:sz w:val="24"/>
          <w:szCs w:val="24"/>
          <w:lang w:val="fr-029"/>
        </w:rPr>
        <w:t>Méthodes :</w:t>
      </w:r>
      <w:r>
        <w:rPr>
          <w:rFonts w:ascii="Times New Roman" w:hAnsi="Times New Roman" w:cs="Times New Roman"/>
          <w:sz w:val="24"/>
          <w:szCs w:val="24"/>
          <w:lang w:val="fr-029"/>
        </w:rPr>
        <w:t xml:space="preserve"> Une analyse bibliométrique a permis d’évaluer la performance et les tendances des études relatives à l’exposition aux polluants environnementaux et au TSA chez les enfants et adolescents âgés de 0 à 18 ans. Nous avons réalisé une recherche documentaire dans la base de données </w:t>
      </w:r>
      <w:r>
        <w:rPr>
          <w:rFonts w:ascii="Times New Roman" w:hAnsi="Times New Roman" w:cs="Times New Roman"/>
          <w:i/>
          <w:iCs/>
          <w:sz w:val="24"/>
          <w:szCs w:val="24"/>
          <w:lang w:val="fr-029"/>
        </w:rPr>
        <w:t>Web of Science Core Collection</w:t>
      </w:r>
      <w:r>
        <w:rPr>
          <w:rFonts w:ascii="Times New Roman" w:hAnsi="Times New Roman" w:cs="Times New Roman"/>
          <w:sz w:val="24"/>
          <w:szCs w:val="24"/>
          <w:lang w:val="fr-029"/>
        </w:rPr>
        <w:t xml:space="preserve"> pour la période allant de la création de la base jusqu’au 1er février 2026. Le corpus d’articles obtenu a été analysé à l’aide du package </w:t>
      </w:r>
      <w:r>
        <w:rPr>
          <w:rFonts w:ascii="Times New Roman" w:hAnsi="Times New Roman" w:cs="Times New Roman"/>
          <w:i/>
          <w:iCs/>
          <w:sz w:val="24"/>
          <w:szCs w:val="24"/>
          <w:lang w:val="fr-029"/>
        </w:rPr>
        <w:t>bibliometrix</w:t>
      </w:r>
      <w:r>
        <w:rPr>
          <w:rFonts w:ascii="Times New Roman" w:hAnsi="Times New Roman" w:cs="Times New Roman"/>
          <w:sz w:val="24"/>
          <w:szCs w:val="24"/>
          <w:lang w:val="fr-029"/>
        </w:rPr>
        <w:t xml:space="preserve"> du logiciel R et de </w:t>
      </w:r>
      <w:r>
        <w:rPr>
          <w:rFonts w:ascii="Times New Roman" w:hAnsi="Times New Roman" w:cs="Times New Roman"/>
          <w:i/>
          <w:iCs/>
          <w:sz w:val="24"/>
          <w:szCs w:val="24"/>
          <w:lang w:val="fr-029"/>
        </w:rPr>
        <w:t>VOSviewer</w:t>
      </w:r>
      <w:r>
        <w:rPr>
          <w:rFonts w:ascii="Times New Roman" w:hAnsi="Times New Roman" w:cs="Times New Roman"/>
          <w:sz w:val="24"/>
          <w:szCs w:val="24"/>
          <w:lang w:val="fr-029"/>
        </w:rPr>
        <w:t>.</w:t>
      </w:r>
    </w:p>
    <w:p w14:paraId="37DF5375" w14:textId="77777777" w:rsidR="00775CBC" w:rsidRPr="001F3A9A" w:rsidRDefault="00775CBC" w:rsidP="00775CBC">
      <w:pPr>
        <w:spacing w:line="360" w:lineRule="auto"/>
        <w:jc w:val="both"/>
        <w:rPr>
          <w:rFonts w:ascii="Times New Roman" w:hAnsi="Times New Roman" w:cs="Times New Roman"/>
          <w:sz w:val="24"/>
          <w:szCs w:val="24"/>
          <w:lang w:val="fr-029"/>
        </w:rPr>
      </w:pPr>
      <w:r>
        <w:rPr>
          <w:rFonts w:ascii="Times New Roman" w:hAnsi="Times New Roman" w:cs="Times New Roman"/>
          <w:b/>
          <w:bCs/>
          <w:sz w:val="24"/>
          <w:szCs w:val="24"/>
          <w:lang w:val="fr-029"/>
        </w:rPr>
        <w:t>Résultats :</w:t>
      </w:r>
      <w:r>
        <w:rPr>
          <w:rFonts w:ascii="Times New Roman" w:hAnsi="Times New Roman" w:cs="Times New Roman"/>
          <w:sz w:val="24"/>
          <w:szCs w:val="24"/>
          <w:lang w:val="fr-029"/>
        </w:rPr>
        <w:t xml:space="preserve"> Un total de 1 574 documents a été extraits et analysés. L’analyse met en évidence une croissance soutenue de la production scientifique, avec une contribution majeure des États-Unis. Quatre principaux thèmes ont émergé de l’analyse thématique. Ils concernent principalement l’exposition environnementale des mères d’enfants autistes, en particulier aux polluants atmosphériques, ainsi qu’aux métaux lourds et aux oligo-éléments inorganiques (mercure, plomb, cuivre, zinc et sélénium).</w:t>
      </w:r>
    </w:p>
    <w:p w14:paraId="0D917D95" w14:textId="77777777" w:rsidR="00775CBC" w:rsidRDefault="00775CBC" w:rsidP="00775CBC">
      <w:pPr>
        <w:spacing w:line="360" w:lineRule="auto"/>
        <w:jc w:val="both"/>
        <w:rPr>
          <w:rFonts w:ascii="Times New Roman" w:hAnsi="Times New Roman" w:cs="Times New Roman"/>
          <w:sz w:val="24"/>
          <w:szCs w:val="24"/>
          <w:lang w:val="fr-029"/>
        </w:rPr>
      </w:pPr>
      <w:r>
        <w:rPr>
          <w:rFonts w:ascii="Times New Roman" w:hAnsi="Times New Roman" w:cs="Times New Roman"/>
          <w:b/>
          <w:bCs/>
          <w:sz w:val="24"/>
          <w:szCs w:val="24"/>
          <w:lang w:val="fr-029"/>
        </w:rPr>
        <w:t>Conclusion :</w:t>
      </w:r>
      <w:r>
        <w:rPr>
          <w:rFonts w:ascii="Times New Roman" w:hAnsi="Times New Roman" w:cs="Times New Roman"/>
          <w:sz w:val="24"/>
          <w:szCs w:val="24"/>
          <w:lang w:val="fr-029"/>
        </w:rPr>
        <w:t xml:space="preserve"> Ces résultats soulignent la nécessité de renforcer les collaborations internationales et de développer des études prospectives de grande ampleur afin d’améliorer la compréhension globale des déterminants environnementaux du TSA.</w:t>
      </w:r>
    </w:p>
    <w:p w14:paraId="218B7AF2" w14:textId="77777777" w:rsidR="00775CBC" w:rsidRPr="001F3A9A" w:rsidRDefault="00775CBC" w:rsidP="00775CBC">
      <w:pPr>
        <w:rPr>
          <w:rFonts w:ascii="Times New Roman" w:hAnsi="Times New Roman" w:cs="Times New Roman"/>
          <w:sz w:val="24"/>
          <w:szCs w:val="24"/>
          <w:lang w:val="fr-029"/>
        </w:rPr>
      </w:pPr>
      <w:r>
        <w:rPr>
          <w:rFonts w:ascii="Times New Roman" w:hAnsi="Times New Roman" w:cs="Times New Roman"/>
          <w:sz w:val="24"/>
          <w:szCs w:val="24"/>
          <w:lang w:val="fr-029"/>
        </w:rPr>
        <w:br w:type="page"/>
      </w:r>
    </w:p>
    <w:p w14:paraId="7EF86A21" w14:textId="77777777" w:rsidR="001E6D1D" w:rsidRPr="00360574" w:rsidRDefault="00F605CA" w:rsidP="00B672F8">
      <w:pPr>
        <w:pStyle w:val="Titre1"/>
        <w:numPr>
          <w:ilvl w:val="0"/>
          <w:numId w:val="5"/>
        </w:numPr>
        <w:spacing w:before="0"/>
        <w:ind w:left="426" w:hanging="426"/>
        <w:rPr>
          <w:rFonts w:ascii="Times New Roman" w:hAnsi="Times New Roman" w:cs="Times New Roman"/>
          <w:b/>
          <w:bCs/>
          <w:sz w:val="24"/>
          <w:szCs w:val="24"/>
        </w:rPr>
      </w:pPr>
      <w:bookmarkStart w:id="2" w:name="_Toc221394027"/>
      <w:r>
        <w:rPr>
          <w:rFonts w:ascii="Times New Roman" w:hAnsi="Times New Roman" w:cs="Times New Roman"/>
          <w:b/>
          <w:bCs/>
          <w:color w:val="000000" w:themeColor="text1"/>
          <w:sz w:val="24"/>
          <w:szCs w:val="24"/>
        </w:rPr>
        <w:lastRenderedPageBreak/>
        <w:t>Contexte</w:t>
      </w:r>
      <w:bookmarkEnd w:id="2"/>
      <w:r>
        <w:rPr>
          <w:rFonts w:ascii="Times New Roman" w:hAnsi="Times New Roman" w:cs="Times New Roman"/>
          <w:b/>
          <w:bCs/>
          <w:color w:val="000000" w:themeColor="text1"/>
          <w:sz w:val="24"/>
          <w:szCs w:val="24"/>
        </w:rPr>
        <w:t xml:space="preserve"> </w:t>
      </w:r>
    </w:p>
    <w:p w14:paraId="1B0C7A7D" w14:textId="77777777" w:rsidR="003026B6" w:rsidRPr="00360574" w:rsidRDefault="001E6D1D" w:rsidP="0036057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Le trouble du spectre de l'autisme (TSA) constitue un trouble neurodéveloppemental caractérisé par des difficultés de communication sociale, des comportements stéréotypés et répétitifs, et des intérêts restreints. La pathogenèse du TSA demeure mal comprise, mais les études actuelles suggèrent une association possible avec des facteurs génétiques, des anomalies de la structure cérébrale, des facteurs environnementaux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8yfDgZg","properties":{"unsorted":false,"formattedCitation":"[1\\uc0\\u8211{}4]","plainCitation":"[1–4]","noteIndex":0},"citationItems":[{"id":130,"uris":["http://zotero.org/users/local/YhcVOeki/items/DLIMLH42"],"itemData":{"id":130,"type":"article-journal","abstract":"Autism Spectrum Disorder (ASD) refers to a group of neurodevelopmental disorders including autism, Asperger's syndrome (AS) and pervasive developmental disorder-not otherwise specified (PDD-NOS). The new diagnostic criteria of ASD focuses on two core domains: social communication impairment and restricted interests/repetitive behaviors. The prevalence of ASD has been steadily increasing over the past two decades, with current estimates reaching up to 1 in 36 children. Hereditary factors, parental history of psychiatric disorders, pre-term births, and fetal exposure to psychotropic drugs or insecticides have all been linked to higher risk of ASD. Several scales such as the Childhood Autism Rating Scale (CARS), The Autism Spectrum Disorder-Observation for Children (ASD-OC), The Developmental, Dimensional, and Diagnostic Interview (3di), are available to aid in better assessing the behaviors and symptoms associated with ASD. Nearly 75% of ASD patients suffer from comorbid psychiatric illnesses or conditions, which may include attention-deficit hyperactivity disorder (ADHD), anxiety, bipolar disorder, depression, Tourette syndrome, and others. Both pharmacological and non-pharmacological interventions are available for ASD. Pharmacological treatments include psychostimulants, atypical antipsychotics, antidepressants, and alpha-2 adrenergic receptor agonists. These medications provide partial symptomatic relief of core symptoms of ASD or manage the symptoms of comorbid conditions. Non-pharmacological interventions, which show promising evidence in improving social interaction and verbal communication of ASD patients, include music therapy, cognitive behavioral therapy and social behavioral therapy. Hormonal therapies with oxytocyin or vasopressin receptor antagonists have also shown some promise in improving core ASD symptoms. The use of vitamins, herbal remedies and nutritional supplements in conjunction with pharmacological and behavioral treatment appear to have some effect in symptomatic improvement in ASD, though additional studies are needed to confirm these benefits. Developing novel disease-modifying therapies may prove to be the ultimate intervention for sustained improvement of symptoms in ASD.","container-title":"Pharmacology &amp; Therapeutics","DOI":"10.1016/j.pharmthera.2018.05.007","ISSN":"1879-016X","journalAbbreviation":"Pharmacol Ther","language":"eng","page":"91-104","PMID":"29763648","source":"PubMed","title":"Autism Spectrum Disorder: Classification, diagnosis and therapy","title-short":"Autism Spectrum Disorder","volume":"190","author":[{"family":"Sharma","given":"Samata R."},{"family":"Gonda","given":"Xenia"},{"family":"Tarazi","given":"Frank I."}],"issued":{"date-parts":[["2018",10]]}}},{"id":132,"uris":["http://zotero.org/users/local/YhcVOeki/items/ANKGAZZ2"],"itemData":{"id":132,"type":"article-journal","abstract":"Autism spectrum disorder (ASD) consists of a genetically heterogenous group of neurobehavioral disorders characterized by impairment in three behavioral domains including communication, social interaction, and stereotypic repetitive behaviors. ASD affects more than 1% of children in Western societies, with diagnoses on the rise due to improved recognition, screening, clinical assessment, and diagnostic testing. We reviewed the role of genetic and metabolic factors which contribute to the causation of ASD with the use of new genetic technology. Up to 40 percent of individuals with ASD are now diagnosed with genetic syndromes or have chromosomal abnormalities including small DNA deletions or duplications, single gene conditions, or gene variants and metabolic disturbances with mitochondrial dysfunction. Although the heritability estimate for ASD is between 70 and 90%, there is a lower molecular diagnostic yield than anticipated. A likely explanation may relate to multifactorial causation with etiological heterogeneity and hundreds of genes involved with a complex interplay between inheritance and environmental factors influenced by epigenetics and capabilities to identify causative genes and their variants for ASD. Behavioral and psychiatric correlates, diagnosis and genetic evaluation with testing are discussed along with psychiatric treatment approaches and pharmacogenetics for selection of medication to treat challenging behaviors or comorbidities commonly seen in ASD. We emphasize prioritizing treatment based on targeted symptoms for individuals with ASD, as treatment will vary from patient to patient based on diagnosis, comorbidities, causation, and symptom severity.","container-title":"International Journal of Molecular Sciences","DOI":"10.3390/ijms21134726","ISSN":"1422-0067","issue":"13","journalAbbreviation":"Int J Mol Sci","language":"eng","page":"4726","PMID":"32630718","PMCID":"PMC7369758","source":"PubMed","title":"Clinical Assessment, Genetics, and Treatment Approaches in Autism Spectrum Disorder (ASD)","volume":"21","author":[{"family":"Genovese","given":"Ann"},{"family":"Butler","given":"Merlin G."}],"issued":{"date-parts":[["2020",7,2]]}}},{"id":135,"uris":["http://zotero.org/users/local/YhcVOeki/items/LUR2ZGH5"],"itemData":{"id":135,"type":"article-journal","abstract":"Over the past decade, in-vivo MRI studies have provided many invaluable insights into the neural substrates underlying autism spectrum disorder (ASD), which is now known to be associated with neurodevelopmental variations in brain anatomy, functioning, and connectivity. These systems-level features of ASD pathology seem to develop differentially across the human lifespan so that the cortical abnormalities that occur in children with ASD differ from those noted at other stages of life. Thus, investigation of the brain in ASD poses particular methodological challenges, which must be addressed to enable the comparison of results across studies. Novel analytical approaches are also being developed to facilitate the translation of findings from the research to the clinical setting. In the future, the insights provided by human neuroimaging studies could contribute to biomarker development for ASD and other neurodevelopmental disorders, and to new approaches to diagnosis and treatment.","container-title":"The Lancet. Neurology","DOI":"10.1016/S1474-4422(15)00050-2","ISSN":"1474-4465","issue":"11","journalAbbreviation":"Lancet Neurol","language":"eng","page":"1121-1134","PMID":"25891007","source":"PubMed","title":"Neuroimaging in autism spectrum disorder: brain structure and function across the lifespan","title-short":"Neuroimaging in autism spectrum disorder","volume":"14","author":[{"family":"Ecker","given":"Christine"},{"family":"Bookheimer","given":"Susan Y."},{"family":"Murphy","given":"Declan G. M."}],"issued":{"date-parts":[["2015",11]]}}},{"id":138,"uris":["http://zotero.org/users/local/YhcVOeki/items/FJWZ9ZU6"],"itemData":{"id":138,"type":"article-journal","abstract":"Autism spectrum disorder (ASD) is a complex neurodevelopmental condition with lifelong impacts. Genetic and environmental factors contribute to ASD etiology, which remains incompletely understood. Research on ASD epidemiology has made significant advances in the past decade. Current prevalence is estimated to be at least 1.5% in developed countries, with recent increases primarily among those without comorbid intellectual disability. Genetic studies have identified a number of rare de novo mutations and gained footing in the areas of polygenic risk, epigenetics, and gene-by-environment interaction. Epidemiologic investigations focused on nongenetic factors have established advanced parental age and preterm birth as ASD risk factors, indicated that prenatal exposure to air pollution and short interpregnancy interval are potential risk factors, and suggested the need for further exploration of certain prenatal nutrients, metabolic conditions, and exposure to endocrine-disrupting chemicals. We discuss future challenges and goals for ASD epidemiology as well as public health implications.","container-title":"Annual Review of Public Health","DOI":"10.1146/annurev-publhealth-031816-044318","ISSN":"1545-2093","journalAbbreviation":"Annu Rev Public Health","language":"eng","page":"81-102","PMID":"28068486","PMCID":"PMC6566093","source":"PubMed","title":"The Changing Epidemiology of Autism Spectrum Disorders","volume":"38","author":[{"family":"Lyall","given":"Kristen"},{"family":"Croen","given":"Lisa"},{"family":"Daniels","given":"Julie"},{"family":"Fallin","given":"M. Daniele"},{"family":"Ladd-Acosta","given":"Christine"},{"family":"Lee","given":"Brian K."},{"family":"Park","given":"Bo Y."},{"family":"Snyder","given":"Nathaniel W."},{"family":"Schendel","given":"Diana"},{"family":"Volk","given":"Heather"},{"family":"Windham","given":"Gayle C."},{"family":"Newschaffer","given":"Craig"}],"issued":{"date-parts":[["2017",3,20]]}}}],"schema":"https://github.com/citation-style-language/schema/raw/master/csl-citation.json"}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kern w:val="0"/>
          <w:sz w:val="24"/>
        </w:rPr>
        <w:t>[1–4]</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48C3C2AF" w14:textId="77777777" w:rsidR="003026B6" w:rsidRPr="00360574" w:rsidRDefault="003026B6" w:rsidP="0036057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À l’échelle mondiale, environ 61,8 millions de personnes vivaient avec un trouble du spectre de l’autisme en 2021, ce qui équivaut à environ 1 personne sur 127 dans la population générale ; la prévalence standardisée par âge était estimée à 788,3 cas pour 100 000 personnes cette année-là. Le TSA touche davantage les hommes que les femmes, avec une prévalence chez les hommes (~1 064,7/100 000) nettement plus élevée que chez les femmes (~508,1/100 000) et ce profil sexué est cohérent dans l’ensemble des régions du monde. Le TSA affecte majoritairement les hommes, avec un ratio homme/femme estimé entre 2:1 et 3:1, et la charge de morbidité est concentrée chez les enfants et adolescents, bien que le trouble persiste tout au long de la vie. Au fil du temps, le nombre de personnes vivant avec un TSA a augmenté de façon notable entre 1990 et 2021, passant d’environ 41,9 millions à 61,8 millions de cas, en grande partie sous l’effet de la croissance démographique et des améliorations dans la détection et la modélisation des estimations. Les régions à revenu élevé présentent des taux de prévalence et de DALYs plus élevés que les régions à revenu faible ou intermédiaire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okK4weu","properties":{"unsorted":false,"formattedCitation":"[5,6]","plainCitation":"[5,6]","noteIndex":0},"citationItems":[{"id":213,"uris":["http://zotero.org/users/local/YhcVOeki/items/IIBTB82V"],"itemData":{"id":213,"type":"article-journal","abstract":"Background: Autism Spectrum Disorder (ASD) has rising global prevalence and lifelong impacts. We quantified its 1990–2021 burden using Estimated Annual Percent Change (EAPC) trends, decomposition analysis, and the Nordpred model to project burdens to 2045.\nMethods: This study analyzed the global, regional, and national ASD burden from 1990 to 2021 using the Global Burden of Disease (GBD) 2021 database, assessing prevalent cases, Disability-Adjusted Life Years (DALYs), Age-Standardized Prevalence Rate (ASPR), and Age-Standardized Disability-Adjusted Life Years Rate (ASDR). It used EAPC to analyze trends, decomposition analysis to examine contributors, and the Nordpred model for predictions to 2045.\nResults: From 1990 to 2021, prevalent cases rose from 41,929,995.80 to 61,823,539.64, males more affected. ASPR increased from 773.25 to 788.34/100,000, ASDR from 144.51 to 147.56/100,000. The number of DALYs increased by 3.68 million (95 % Uncertainty Interval 3.20–4.10 million) from 1990 to 2021. Middle Socio-demographic Index (SDI) regions saw the largest increases, High SDI regions minimal growth. Among 21 GBD regions, high-income Asia Pacific grew fastest, Oceania declined. Nationally, Japan, South Korea, and Singapore had the highest 2021 ASPR/ASDR, Bangladesh, Brazil, and Nepal the lowest. Decomposition analysis showed population growth drove prevalent cases and DALYs increases, aging caused declines. Predictive models estimate 71,782,946 cases by 2045, DALYs peaking at 13,365,467 years. ASPR and ASDR expected to peak in 2029 (792.16/100,000) and 2034 (148.55/100,000), then decline.\nConclusion: The rising ASD burden requires immediate action, particularly in middle SDI regions and high-income Asia Pacific, where growth is speeding up. Early intervention and equitable resource distribution for high-risk groups like males and fast-growing populations are essential to cut projected case and DALY increases by 2045.","container-title":"Actas Españolas de Psiquiatría","DOI":"10.62641/aep.v53i6.2029","ISSN":"1578-2735","issue":"6","language":"en","license":"Copyright (c) 2025 The Author(s)","page":"1162-1175","source":"actaspsiquiatria.es","title":"Global, Regional, and National Burden of Autism Spectrum Disorder: Trends and Decomposition Analysis From 1990 to 2021, and Projections for 2045","title-short":"Global, Regional, and National Burden of Autism Spectrum Disorder","volume":"53","author":[{"family":"Zhu","given":"Huihui"},{"family":"Ye","given":"Wenjing"},{"family":"Zhou","given":"Fan"},{"family":"Shi","given":"Linwei"},{"family":"Zhou","given":"Yonghai"},{"family":"Liu","given":"Peining"}],"issued":{"date-parts":[["2025",12,17]]}}},{"id":210,"uris":["http://zotero.org/users/local/YhcVOeki/items/IDK8IRYT"],"itemData":{"id":210,"type":"article-journal","abstract":"BACKGROUND: High-quality estimates of the epidemiology of the autism spectrum and the health needs of autistic people are necessary for service planners and resource allocators. Here we present the global prevalence and health burden of autism spectrum disorder from the Global Burden of Diseases, Injuries, and Risk Factors Study (GBD) 2021 following improvements to the epidemiological data and burden estimation methods.\nMETHODS: For GBD 2021, a systematic literature review involving searches in PubMed, Embase, PsycINFO, the Global Health Data Exchange, and consultation with experts identified data on the epidemiology of autism spectrum disorder. Eligible data were used to estimate prevalence via a Bayesian meta-regression tool (DisMod-MR 2.1). Modelled prevalence and disability weights were used to estimate health burden in years lived with disability (YLDs) as the measure of non-fatal health burden and disability-adjusted life-years (DALYs) as the measure of overall health burden. Data by ethnicity were not available. People with lived experience of autism were involved in the design, preparation, interpretation, and writing of this Article.\nFINDINGS: An estimated 61·8 million (95% uncertainty interval 52·1-72·7) individuals (one in every 127 people) were on the autism spectrum globally in 2021. The global age-standardised prevalence was 788·3 (663·8-927·2) per 100 000 people, equivalent to 1064·7 (898·5-1245·7) autistic males per 100 000 males and 508·1 (424·6-604·3) autistic females per 100 000 females. Autism spectrum disorder accounted for 11·5 million (7·8-16·3) DALYs, equivalent to 147·6 (100·2-208·2) DALYs per 100 000 people (age-standardised) globally. At the super-region level, age-standardised DALY rates ranged from 126·5 (86·0-178·0) per 100 000 people in southeast Asia, east Asia, and Oceania to 204·1 (140·7-284·7) per 100 000 people in the high-income super-region. DALYs were evident across the lifespan, emerging for children younger than age 5 years (169·2 [115·0-237·4] DALYs per 100 000 people) and decreasing with age (163·4 [110·6-229·8] DALYs per 100 000 people younger than 20 years and 137·7 [93·9-194·5] DALYs per 100 000 people aged 20 years and older). Autism spectrum disorder was ranked within the top-ten causes of non-fatal health burden for people younger than 20 years.\nINTERPRETATION: The high prevalence and high rank for non-fatal health burden of autism spectrum disorder in people younger than 20 years underscore the importance of early detection and support to autistic young people and their caregivers globally. Work to improve the precision and global representation of our findings is required, starting with better global coverage of epidemiological data so that geographical variations can be better ascertained. The work presented here can guide future research efforts, and importantly, decisions concerning allocation of health services that better address the needs of all autistic individuals.\nFUNDING: Queensland Health and the Bill &amp; Melinda Gates Foundation.","container-title":"The Lancet. Psychiatry","DOI":"10.1016/S2215-0366(24)00363-8","ISSN":"2215-0374","issue":"2","journalAbbreviation":"Lancet Psychiatry","language":"eng","page":"111-121","PMID":"39709974","PMCID":"PMC11750762","source":"PubMed","title":"The global epidemiology and health burden of the autism spectrum: findings from the Global Burden of Disease Study 2021","title-short":"The global epidemiology and health burden of the autism spectrum","volume":"12","author":[{"literal":"Global Burden of Disease Study 2021 Autism Spectrum Collaborators"}],"issued":{"date-parts":[["2025",2]]}}}],"schema":"https://github.com/citation-style-language/schema/raw/master/csl-citation.json"}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[5,6]</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9109309" w14:textId="77777777" w:rsidR="003026B6" w:rsidRPr="00360574" w:rsidRDefault="003026B6" w:rsidP="0036057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Ces niveaux de prévalence sont d’autant plus préoccupants que le TSA constitue une source majeure de handicap tout au long de la vie. Chez les personnes atteintes, la littérature rapporte des limitations fonctionnelles persistantes, notamment dans la communication sociale, l’autonomie et l’intégration scolaire et professionnelle, ainsi qu’une forte comorbidité psychiatrique (anxiété, dépression, TDAH, troubles du comportement)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2zpgrE1","properties":{"unsorted":false,"formattedCitation":"[7,8]","plainCitation":"[7,8]","noteIndex":0},"citationItems":[{"id":215,"uris":["http://zotero.org/users/local/YhcVOeki/items/I9ELGCJU"],"itemData":{"id":215,"type":"article-journal","container-title":"The Lancet","DOI":"10.1016/S0140-6736(13)61539-1","ISSN":"0140-6736, 1474-547X","issue":"9920","journalAbbreviation":"The Lancet","language":"English","page":"896-910","PMID":"24074734","publisher":"Elsevier","source":"www.thelancet.com","title":"Autism","volume":"383","author":[{"family":"Lai","given":"Meng-Chuan"},{"family":"Lombardo","given":"Michael V."},{"family":"Baron-Cohen","given":"Simon"}],"issued":{"date-parts":[["2014",3,8]]}}},{"id":173,"uris":["http://zotero.org/users/local/YhcVOeki/items/AH6KMBAC"],"itemData":{"id":173,"type":"article-journal","abstract":"OBJECTIVE: Autism spectrum disorders are now recognized to occur in up to 1% of the population and to be a major public health concern because of their early onset, lifelong persistence, and high levels of associated impairment. Little is known about the associated psychiatric disorders that may contribute to impairment. We identify the rates and type of psychiatric comorbidity associated with ASDs and explore the associations with variables identified as risk factors for child psychiatric disorders.\nMETHOD: A subgroup of 112 ten- to 14-year old children from a population-derived cohort was assessed for other child psychiatric disorders (3 months' prevalence) through parent interview using the Child and Adolescent Psychiatric Assessment. DSM-IV diagnoses for childhood anxiety disorders, depressive disorders, oppositional defiant and conduct disorders, attention-deficit/hyperactivity disorder, tic disorders, trichotillomania, enuresis, and encopresis were identified.\nRESULTS: Seventy percent of participants had at least one comorbid disorder and 41% had two or more. The most common diagnoses were social anxiety disorder (29.2%, 95% confidence interval [CI)] 13.2-45.1), attention-deficit/hyperactivity disorder (28.2%, 95% CI 13.3-43.0), and oppositional defiant disorder (28.1%, 95% CI 13.9-42.2). Of those with attention-deficit/hyperactivity disorder, 84% received a second comorbid diagnosis. There were few associations between putative risk factors and psychiatric disorder.\nCONCLUSIONS: Psychiatric disorders are common and frequently multiple in children with autism spectrum disorders. They may provide targets for intervention and should be routinely evaluated in the clinical assessment of this group.","container-title":"Journal of the American Academy of Child and Adolescent Psychiatry","DOI":"10.1097/CHI.0b013e318179964f","ISSN":"1527-5418","issue":"8","journalAbbreviation":"J Am Acad Child Adolesc Psychiatry","language":"eng","page":"921-929","PMID":"18645422","source":"PubMed","title":"Psychiatric disorders in children with autism spectrum disorders: prevalence, comorbidity, and associated factors in a population-derived sample","title-short":"Psychiatric disorders in children with autism spectrum disorders","volume":"47","author":[{"family":"Simonoff","given":"Emily"},{"family":"Pickles","given":"Andrew"},{"family":"Charman","given":"Tony"},{"family":"Chandler","given":"Susie"},{"family":"Loucas","given":"Tom"},{"family":"Baird","given":"Gillian"}],"issued":{"date-parts":[["2008",8]]}}}],"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[7,8]</w:t>
      </w:r>
      <w:r>
        <w:rPr>
          <w:rFonts w:ascii="Times New Roman" w:hAnsi="Times New Roman" w:cs="Times New Roman"/>
          <w:sz w:val="24"/>
          <w:szCs w:val="24"/>
        </w:rPr>
        <w:fldChar w:fldCharType="end"/>
      </w:r>
      <w:r>
        <w:rPr>
          <w:rFonts w:ascii="Times New Roman" w:hAnsi="Times New Roman" w:cs="Times New Roman"/>
          <w:sz w:val="24"/>
          <w:szCs w:val="24"/>
        </w:rPr>
        <w:t xml:space="preserve">. Sur le plan familial, le TSA est associé à une charge psychosociale et économique importante, incluant stress parental, isolement social et coûts élevés liés aux soins et à l’accompagnement éducatif [3]. À l’échelle populationnelle, le Global Burden of Disease montre que la charge du TSA est quasi exclusivement liée aux années vécues avec incapacité (YLDs), soulignant son impact durable sur la qualité de vie plutôt que sur la mortalité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G4nqir13","properties":{"unsorted":false,"formattedCitation":"[6]","plainCitation":"[6]","noteIndex":0},"citationItems":[{"id":210,"uris":["http://zotero.org/users/local/YhcVOeki/items/IDK8IRYT"],"itemData":{"id":210,"type":"article-journal","abstract":"BACKGROUND: High-quality estimates of the epidemiology of the autism spectrum and the health needs of autistic people are necessary for service planners and resource allocators. Here we present the global prevalence and health burden of autism spectrum disorder from the Global Burden of Diseases, Injuries, and Risk Factors Study (GBD) 2021 following improvements to the epidemiological data and burden estimation methods.\nMETHODS: For GBD 2021, a systematic literature review involving searches in PubMed, Embase, PsycINFO, the Global Health Data Exchange, and consultation with experts identified data on the epidemiology of autism spectrum disorder. Eligible data were used to estimate prevalence via a Bayesian meta-regression tool (DisMod-MR 2.1). Modelled prevalence and disability weights were used to estimate health burden in years lived with disability (YLDs) as the measure of non-fatal health burden and disability-adjusted life-years (DALYs) as the measure of overall health burden. Data by ethnicity were not available. People with lived experience of autism were involved in the design, preparation, interpretation, and writing of this Article.\nFINDINGS: An estimated 61·8 million (95% uncertainty interval 52·1-72·7) individuals (one in every 127 people) were on the autism spectrum globally in 2021. The global age-standardised prevalence was 788·3 (663·8-927·2) per 100 000 people, equivalent to 1064·7 (898·5-1245·7) autistic males per 100 000 males and 508·1 (424·6-604·3) autistic females per 100 000 females. Autism spectrum disorder accounted for 11·5 million (7·8-16·3) DALYs, equivalent to 147·6 (100·2-208·2) DALYs per 100 000 people (age-standardised) globally. At the super-region level, age-standardised DALY rates ranged from 126·5 (86·0-178·0) per 100 000 people in southeast Asia, east Asia, and Oceania to 204·1 (140·7-284·7) per 100 000 people in the high-income super-region. DALYs were evident across the lifespan, emerging for children younger than age 5 years (169·2 [115·0-237·4] DALYs per 100 000 people) and decreasing with age (163·4 [110·6-229·8] DALYs per 100 000 people younger than 20 years and 137·7 [93·9-194·5] DALYs per 100 000 people aged 20 years and older). Autism spectrum disorder was ranked within the top-ten causes of non-fatal health burden for people younger than 20 years.\nINTERPRETATION: The high prevalence and high rank for non-fatal health burden of autism spectrum disorder in people younger than 20 years underscore the importance of early detection and support to autistic young people and their caregivers globally. Work to improve the precision and global representation of our findings is required, starting with better global coverage of epidemiological data so that geographical variations can be better ascertained. The work presented here can guide future research efforts, and importantly, decisions concerning allocation of health services that better address the needs of all autistic individuals.\nFUNDING: Queensland Health and the Bill &amp; Melinda Gates Foundation.","container-title":"The Lancet. Psychiatry","DOI":"10.1016/S2215-0366(24)00363-8","ISSN":"2215-0374","issue":"2","journalAbbreviation":"Lancet Psychiatry","language":"eng","page":"111-121","PMID":"39709974","PMCID":"PMC11750762","source":"PubMed","title":"The global epidemiology and health burden of the autism spectrum: findings from the Global Burden of Disease Study 2021","title-short":"The global epidemiology and health burden of the autism spectrum","volume":"12","author":[{"literal":"Global Burden of Disease Study 2021 Autism Spectrum Collaborators"}],"issued":{"date-parts":[["2025",2]]}}}],"schema":"https://github.com/citation-style-language/schema/raw/master/csl-citation.json"}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[6]</w:t>
      </w:r>
      <w:r>
        <w:rPr>
          <w:rFonts w:ascii="Times New Roman" w:hAnsi="Times New Roman" w:cs="Times New Roman"/>
          <w:sz w:val="24"/>
          <w:szCs w:val="24"/>
        </w:rPr>
        <w:fldChar w:fldCharType="end"/>
      </w:r>
      <w:r>
        <w:rPr>
          <w:rFonts w:ascii="Times New Roman" w:hAnsi="Times New Roman" w:cs="Times New Roman"/>
          <w:sz w:val="24"/>
          <w:szCs w:val="24"/>
        </w:rPr>
        <w:t>.</w:t>
      </w:r>
    </w:p>
    <w:p w14:paraId="2BE5837B" w14:textId="77777777" w:rsidR="00726371" w:rsidRPr="00360574" w:rsidRDefault="00BA0967" w:rsidP="0036057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La littérature scientifique rend compte de plusieurs facteurs associés au développement du TSA. Parmi eux, certaines expositions environnementales prénatales, telles que le dioxyde d’azote, le cuivre, le phtalate de mono-3-carboxypropyle, le phtalate de monobutyle et le PCB 138, ainsi que certains sous-groupes de polluants comme le monoxyde de carbone, les oxydes </w:t>
      </w:r>
      <w:r>
        <w:rPr>
          <w:rFonts w:ascii="Times New Roman" w:hAnsi="Times New Roman" w:cs="Times New Roman"/>
          <w:sz w:val="24"/>
          <w:szCs w:val="24"/>
        </w:rPr>
        <w:lastRenderedPageBreak/>
        <w:t xml:space="preserve">d’azote et divers métaux, présentent des liens positifs avec le TSA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{"citationID":"pqZgVuTE","properties":{"unsorted":false,"formattedCitation":"[9]","plainCitation":"[9]","noteIndex":0},"citationItems":[{"id":221,"uris":["http://zotero.org/users/local/YhcVOeki/items/JM4VTCJU"],"itemData":{"id":221,"type":"article-journal","abstract":"According to recent evidence, up to 40–50% of variance in autism spectrum disorder (ASD) liability might be determined by environmental factors. In the present paper, we conducted a review of systematic reviews and meta-analyses of environmental risk factors for ASD. We assessed each review for quality of evidence and provided a brief overview of putative mechanisms of environmental risk factors for ASD.","container-title":"Molecular Autism","DOI":"10.1186/s13229-017-0121-4","ISSN":"2040-2392","issue":"1","journalAbbreviation":"Molecular Autism","language":"en","page":"13","source":"Springer Link","title":"Environmental risk factors for autism: an evidence-based review of systematic reviews and meta-analyses","title-short":"Environmental risk factors for autism","volume":"8","author":[{"family":"Modabbernia","given":"Amirhossein"},{"family":"Velthorst","given":"Eva"},{"family":"Reichenberg","given":"Abraham"}],"issued":{"date-parts":[["2017",3,17]]}}}],"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Sur le plan démographique et périnatal, un âge parental avancé et les complications de naissance liées à un traumatisme, à l’ischémie ou à l’hypoxie sont fortement associés au risque d’autisme. D’autres facteurs liés à la grossesse, tels que l’obésité maternelle, le diabète maternel et l’accouchement par césarienne, montrent également une association significative, mais moins prononcée, avec le TSA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{"citationID":"FfXvVYXz","properties":{"unsorted":false,"formattedCitation":"[9]","plainCitation":"[9]","noteIndex":0},"citationItems":[{"id":221,"uris":["http://zotero.org/users/local/YhcVOeki/items/JM4VTCJU"],"itemData":{"id":221,"type":"article-journal","abstract":"According to recent evidence, up to 40–50% of variance in autism spectrum disorder (ASD) liability might be determined by environmental factors. In the present paper, we conducted a review of systematic reviews and meta-analyses of environmental risk factors for ASD. We assessed each review for quality of evidence and provided a brief overview of putative mechanisms of environmental risk factors for ASD.","container-title":"Molecular Autism","DOI":"10.1186/s13229-017-0121-4","ISSN":"2040-2392","issue":"1","journalAbbreviation":"Molecular Autism","language":"en","page":"13","source":"Springer Link","title":"Environmental risk factors for autism: an evidence-based review of systematic reviews and meta-analyses","title-short":"Environmental risk factors for autism","volume":"8","author":[{"family":"Modabbernia","given":"Amirhossein"},{"family":"Velthorst","given":"Eva"},{"family":"Reichenberg","given":"Abraham"}],"issued":{"date-parts":[["2017",3,17]]}}}],"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Le seul facteur de risque constant identifié demeure le sexe masculin, avec un risque potentiel accru chez les enfants présentant un faible poids à la naissance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yV3WCmJo","properties":{"unsorted":false,"formattedCitation":"[10]","plainCitation":"[10]","noteIndex":0},"citationItems":[{"id":223,"uris":["http://zotero.org/users/local/YhcVOeki/items/L3BXWS2I"],"itemData":{"id":223,"type":"article-journal","abstract":"BACKGROUND: Preterm children are at an increased risk of autism spectrum disorder (ASD), although the determinants of ASD among them remain unclear. In this systematic review and meta-analysis, we summarize the population-based literature on ASD risk factors in preterm-born individuals.\nMETHODS: We searched Ovid MEDLINE, Embase, and Web of Science through September 2023 for population-based studies on ASD risk factors in preterm cohorts (&lt;37 weeks' gestation). From 3921 articles, 19 met inclusion criteria. Registered in PROSPERO and following Preferred Reporting Items for Systematic Reviews and Meta-Analyses (PRISMA) guidelines, data were extracted and analyzed using fixed and random effects meta-analysis models. Primary outcomes included ASD risk factors, pooled when consistently examined in at least 2 studies.\nRESULTS: The qualitative synthesis included 16 cohort studies, 2 case-control studies, and 1 cross-sectional study, while 3 cohort studies were included in the meta-analysis. Sample sizes ranged from 410 to 515,789. Male sex was the only risk factor eligible for meta-analysis and was associated with increased risk of ASD (relative risk 3.04; 95% CI, 2.02-4.57). Low birth weight suggested a potential positive association with ASD, while neonatal jaundice showed no clear link. Pooled estimates were unavailable for these exposures due to heterogeneity in exposure definitions and effect measures. All other risk factors were examined in two or fewer studies.\nCONCLUSIONS: Significant knowledge gaps remain regarding the risk of ASD in individuals born preterm. The only consistent risk factor identified is male sex, with potential links to low birth weight. To better understand the differences in ASD etiology between preterm and term-born individuals, further research is crucial.","container-title":"Biological Psychiatry Global Open Science","DOI":"10.1016/j.bpsgos.2025.100535","ISSN":"2667-1743","issue":"5","journalAbbreviation":"Biol Psychiatry Glob Open Sci","language":"eng","page":"100535","PMID":"40678694","PMCID":"PMC12268552","source":"PubMed","title":"Risk Factors for Autism Spectrum Disorder in Individuals Born Preterm: A Systematic Review and Meta-Analysis of Population-Based Studies","title-short":"Risk Factors for Autism Spectrum Disorder in Individuals Born Preterm","volume":"5","author":[{"family":"Yang","given":"Bo"},{"family":"Zaks","given":"Nina"},{"family":"Kajantie","given":"Eero"},{"family":"Persson","given":"Monica S. M."},{"family":"Reichenberg","given":"Abraham"},{"family":"Gissler","given":"Mika"},{"family":"Risnes","given":"Kari"},{"family":"Kolevzon","given":"Alexander"},{"family":"Ådén","given":"Ulrika"},{"family":"Susser","given":"Ezra"},{"family":"Persson","given":"Martina"},{"family":"Ludvigsson","given":"Jonas F."},{"family":"Tammimies","given":"Kristiina"},{"family":"Poon","given":"Liona C."},{"family":"Yip","given":"Benjamin"},{"family":"Döring","given":"Nora"},{"family":"Sandin","given":"Sven"},{"family":"Yin","given":"Weiyao"}],"issued":{"date-parts":[["2025",9]]}}}],"schema":"https://github.com/citation-style-language/schema/raw/master/csl-citation.json"}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[10]</w:t>
      </w:r>
      <w:r>
        <w:rPr>
          <w:rFonts w:ascii="Times New Roman" w:hAnsi="Times New Roman" w:cs="Times New Roman"/>
          <w:sz w:val="24"/>
          <w:szCs w:val="24"/>
        </w:rPr>
        <w:fldChar w:fldCharType="end"/>
      </w:r>
      <w:r>
        <w:rPr>
          <w:rFonts w:ascii="Times New Roman" w:hAnsi="Times New Roman" w:cs="Times New Roman"/>
          <w:sz w:val="24"/>
          <w:szCs w:val="24"/>
        </w:rPr>
        <w:t xml:space="preserve">. En revanche, les preuves actuelles indiquent que plusieurs facteurs comportementaux autrefois suspectés, tels que la vaccination, le tabagisme maternel, l’exposition au thimérosal ou encore, très probablement, les technologies de procréation assistée, ne sont pas associés à un risque accru de TSA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{"citationID":"1VsvYpCJ","properties":{"unsorted":false,"formattedCitation":"[9]","plainCitation":"[9]","noteIndex":0},"citationItems":[{"id":221,"uris":["http://zotero.org/users/local/YhcVOeki/items/JM4VTCJU"],"itemData":{"id":221,"type":"article-journal","abstract":"According to recent evidence, up to 40–50% of variance in autism spectrum disorder (ASD) liability might be determined by environmental factors. In the present paper, we conducted a review of systematic reviews and meta-analyses of environmental risk factors for ASD. We assessed each review for quality of evidence and provided a brief overview of putative mechanisms of environmental risk factors for ASD.","container-title":"Molecular Autism","DOI":"10.1186/s13229-017-0121-4","ISSN":"2040-2392","issue":"1","journalAbbreviation":"Molecular Autism","language":"en","page":"13","source":"Springer Link","title":"Environmental risk factors for autism: an evidence-based review of systematic reviews and meta-analyses","title-short":"Environmental risk factors for autism","volume":"8","author":[{"family":"Modabbernia","given":"Amirhossein"},{"family":"Velthorst","given":"Eva"},{"family":"Reichenberg","given":"Abraham"}],"issued":{"date-parts":[["2017",3,17]]}}}],"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[9]</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EF1DCE7" w14:textId="77777777" w:rsidR="00F23F96" w:rsidRPr="00360574" w:rsidRDefault="00F23F96" w:rsidP="0036057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Au cours de la dernière décennie, les chercheurs se sont efforcés d'expliquer l'étiologie neurologique du TSA, et des progrès considérables ont été réalisés en génétique, épigénétique, neuropathologie et neuro-imagerie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{"citationID":"UaStsv9A","properties":{"formattedCitation":"[11]","plainCitation":"[11]","noteIndex":0},"citationItems":[{"id":157,"uris":["http://zotero.org/users/local/YhcVOeki/items/NEBTXV7M"],"itemData":{"id":157,"type":"article-journal","abstract":"Autism spectrum disorder (ASD) is a common neurodevelopmental disorder with reported prevalence in the United States of 1 in 59 children (approximately 1.7%). Core deficits are identified in 2 domains: social communication/interaction and restrictive, repetitive patterns of behavior. Children and youth with ASD have service needs in behavioral, educational, health, leisure, family support, and other areas. Standardized screening for ASD at 18 and 24 months of age with ongoing developmental surveillance continues to be recommended in primary care (although it may be performed in other settings), because ASD is common, can be diagnosed as young as 18 months of age, and has evidenced-based interventions that may improve function. More accurate and culturally sensitive screening approaches are needed. Primary care providers should be familiar with the diagnostic criteria for ASD, appropriate etiologic evaluation, and co-occurring medical and behavioral conditions (such as disorders of sleep and feeding, gastrointestinal tract symptoms, obesity, seizures, attention-deficit/hyperactivity disorder, anxiety, and wandering) that affect the child's function and quality of life. There is an increasing evidence base to support behavioral and other interventions to address specific skills and symptoms. Shared decision making calls for collaboration with families in evaluation and choice of interventions.  This single clinical report updates the 2007 American Academy of Pediatrics clinical reports on the evaluation and treatment of ASD in one publication with an online table of contents and section view available through the American Academy of Pediatrics Gateway to help the reader identify topic areas within the report.","container-title":"Pediatrics","DOI":"10.1542/peds.2019-3447","ISSN":"1098-4275","issue":"1","journalAbbreviation":"Pediatrics","language":"eng","page":"e20193447","PMID":"31843864","source":"PubMed","title":"Identification, Evaluation, and Management of Children With Autism Spectrum Disorder","volume":"145","author":[{"family":"Hyman","given":"Susan L."},{"family":"Levy","given":"Susan E."},{"family":"Myers","given":"Scott M."},{"literal":"COUNCIL ON CHILDREN WITH DISABILITIES, SECTION ON DEVELOPMENTAL AND BEHAVIORAL PEDIATRICS"}],"issued":{"date-parts":[["2020",1]]}}}],"schema":"https://github.com/citation-style-language/schema/raw/master/csl-citation.json"}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[11]</w:t>
      </w:r>
      <w:r>
        <w:rPr>
          <w:rFonts w:ascii="Times New Roman" w:hAnsi="Times New Roman" w:cs="Times New Roman"/>
          <w:sz w:val="24"/>
          <w:szCs w:val="24"/>
        </w:rPr>
        <w:fldChar w:fldCharType="end"/>
      </w:r>
      <w:r>
        <w:rPr>
          <w:rFonts w:ascii="Times New Roman" w:hAnsi="Times New Roman" w:cs="Times New Roman"/>
          <w:sz w:val="24"/>
          <w:szCs w:val="24"/>
        </w:rPr>
        <w:t xml:space="preserve">. Les facteurs environnementaux peuvent affecter la qualité et la quantité de l'expression des gènes sans modifier la séquence d'ADN, grâce à des mécanismes épigénétiques tels que la méthylation de l'ADN, les modifications des protéines histones et l'expression des ARN non codants. Ces modifications peuvent ainsi être transmises à la génération cellulaire suivante, voire à la génération d'organismes suivante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weJwWGWa","properties":{"unsorted":false,"formattedCitation":"[12,13]","plainCitation":"[12,13]","noteIndex":0},"citationItems":[{"id":195,"uris":["http://zotero.org/users/local/YhcVOeki/items/P5A2KN7Z"],"itemData":{"id":195,"type":"article-journal","abstract":"and accurate prediction of clean energy can supply an important reference for governments to formulate social and economic development policies. This paper begins with the logistic equation which is the whitening equation of the Verhulst model, introduces the Riccati equation with constant coefficients to optimize the whitening equation, and establishes a grey prediction model (CCRGM(1,1)) based on the Riccati equation. This model organically combines the characteristics of the grey model, and flexibly improves the modelling precision. Furthermore, the nonlinear term is optimized by the simulated annealing algorithm. To illustrate the validation of the new model, two kinds of clean energy consumption in the actual area are selected as the research objects. Compared with six other grey prediction models, CCRGM(1,1) model has the highest accuracy in simulation and prediction. Finally, this model is used to predict the nuclear and hydroelectricity energy consumption in North America from 2019 to 2028. The results predict that nuclear energy consumption will keep rising in the next decade, while hydroelectricity energy consumption will rise to a peak and subsequently fall back, which offers important information for the governments of North America to formulate energy measures.","container-title":"Energy","DOI":"10.1016/j.energy.2020.118085","ISSN":"0360-5442","journalAbbreviation":"Energy (Oxf)","language":"eng","page":"118085","PMID":"32546893","PMCID":"PMC7290234","publisher-place":"Oxford, England","source":"PubMed","title":"A Novel Riccati Equation Grey Model And Its Application In Forecasting Clean Energy","volume":"205","author":[{"family":"Luo","given":"Xilin"},{"family":"Duan","given":"Huiming"},{"family":"He","given":"Leiyuhang"}],"issued":{"date-parts":[["2020",8,15]]}}},{"id":198,"uris":["http://zotero.org/users/local/YhcVOeki/items/IAGJXMWL"],"itemData":{"id":198,"type":"article-journal","abstract":"BACKGROUND: COVID-19 and Sexually Transmitted Diseases (STDs) are two very important diseases. However, relevant researches about how COVID-19 pandemic has impacted on the epidemiological trend of STDs are limited in China. This study aimed to analyze the impact of COVID-19 on STDs in China and proposed relevant recommendations to be used in bettering health.\nMETHODS: The incidence of HIV infection, syphilis and gonorrhea in China from 2008 to 2020 were collected. Grey Model (1,1) were established to predict the incidence of STDs with the incidence data of these three STDs from 2013 to 2018 considering the impact of policies in China, respectively. We then calculated the predictive incidence of each STD in 2019, 2020 and 2021 by the established Model. And we estimated the extent of the impact of COVID-19 on the epidemiological changes of STDs by analyzing the difference between the absolute percentage error (APE) of the predictive incidence and actual rate in 2019 and 2020.\nRESULTS: The incidence of HIV infection and syphilis showed a trend of increase from 2008 to 2019 in China, but that for gonorrhea was fluctuant. Of note, the incidence of these three STDs decreased significantly in 2020 compared with that in 2019. The APE of HIV infection, syphilis and gonorrhea in 2020 (20.54%, 15.45% and 60.88%) were about 7 times, 4 times and 2 times of that in 2019 (2.94%, 4.07% and 30.41%). The incidence of HIV infection, syphilis and gonorrhea would be 5.77/100,000, 39.64/100,000 and 13.19/100,000 in 2021 based on our model.\nCONCLUSIONS: The epidemiological trend of STDs in China was significant influenced by COVID-19 pandemic. It is important to balance the control of COVID-19 and timely management of STDs during the COVID-19 epidemic to prevent or reduce the poor outcome among COVID-19 patients with STDs. New management strategies on STDs, such as leveraging social media, online medical care, rapid self-testing, timely diagnosis and treatment guarantee and balance of medical resources for STDs management should be adapted in the context of the long-term effects of COVID-19.","container-title":"BMC infectious diseases","DOI":"10.1186/s12879-022-07496-y","ISSN":"1471-2334","issue":"1","journalAbbreviation":"BMC Infect Dis","language":"eng","page":"519","PMID":"35659579","PMCID":"PMC9166241","source":"PubMed","title":"Impact of COVID-19 pandemic on the epidemiology of STDs in China: based on the GM (1,1) model","title-short":"Impact of COVID-19 pandemic on the epidemiology of STDs in China","volume":"22","author":[{"family":"Yan","given":"Jingmin"},{"family":"Li","given":"Yanbo"},{"family":"Zhou","given":"Pingyu"}],"issued":{"date-parts":[["2022",6,4]]}}}],"schema":"https://github.com/citation-style-language/schema/raw/master/csl-citation.json"}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[12,13]</w:t>
      </w:r>
      <w:r>
        <w:rPr>
          <w:rFonts w:ascii="Times New Roman" w:hAnsi="Times New Roman" w:cs="Times New Roman"/>
          <w:sz w:val="24"/>
          <w:szCs w:val="24"/>
        </w:rPr>
        <w:fldChar w:fldCharType="end"/>
      </w:r>
      <w:r>
        <w:rPr>
          <w:rFonts w:ascii="Times New Roman" w:hAnsi="Times New Roman" w:cs="Times New Roman"/>
          <w:sz w:val="24"/>
          <w:szCs w:val="24"/>
        </w:rPr>
        <w:t xml:space="preserve">. Et en dépit du fait que de récentes études synthétisent les preuves sur le lien entre lesdits facteurs et le TSA, nous n’avions à ce jour aucune étude qui rende compte de l’évolution de ce champ de recherche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{"citationID":"ZZ17fZqr","properties":{"unsorted":false,"formattedCitation":"[14]","plainCitation":"[14]","noteIndex":0},"citationItems":[{"id":219,"uris":["http://zotero.org/users/local/YhcVOeki/items/QRUG4JLC"],"itemData":{"id":219,"type":"article-journal","abstract":"Autism Spectrum Disorder (ASD) is a lifelong neurodevelopmental condition affecting communication, social interaction, and behavior. Evidence suggests that environmental pollutants are associated with ASD incidence. This review aimed to analyze the effect of environmental pollutants on ASD.","container-title":"BMC Public Health","DOI":"10.1186/s12889-024-19742-w","ISSN":"1471-2458","issue":"1","journalAbbreviation":"BMC Public Health","language":"en","page":"2388","source":"Springer Link","title":"Environmental pollutants as risk factors for autism spectrum disorders: a systematic review and meta-analysis of cohort studies","title-short":"Environmental pollutants as risk factors for autism spectrum disorders","volume":"24","author":[{"family":"Duque-Cartagena","given":"Tatiana"},{"family":"Dalla","given":"Marcello Dala Bernardina"},{"family":"Mundstock","given":"Eduardo"},{"family":"Neto","given":"Felipe Kalil"},{"family":"Espinoza","given":"Sergio Angelo Rojas"},{"family":"Moura","given":"Sara Kvitko","non-dropping-particle":"de"},{"family":"Zanirati","given":"Gabriele"},{"family":"Padoin","given":"Alexandre Vontobel"},{"family":"Jimenez","given":"Juan Gabriel Piñeros"},{"family":"Stein","given":"Airton Tetelbom"},{"family":"Cañon-Montañez","given":"Wilson"},{"family":"Mattiello","given":"Rita"}],"issued":{"date-parts":[["2024",9,3]]}}}],"schema":"https://github.com/citation-style-language/schema/raw/master/csl-citation.json"} </w:instrText>
      </w:r>
      <w:r>
        <w:rPr>
          <w:rFonts w:ascii="Times New Roman" w:hAnsi="Times New Roman" w:cs="Times New Roman"/>
          <w:sz w:val="24"/>
          <w:szCs w:val="24"/>
        </w:rPr>
        <w:fldChar w:fldCharType="separate"/>
      </w:r>
      <w:r>
        <w:rPr>
          <w:rFonts w:ascii="Times New Roman" w:hAnsi="Times New Roman" w:cs="Times New Roman"/>
          <w:sz w:val="24"/>
          <w:szCs w:val="24"/>
        </w:rPr>
        <w:t>[14]</w:t>
      </w:r>
      <w:r>
        <w:rPr>
          <w:rFonts w:ascii="Times New Roman" w:hAnsi="Times New Roman" w:cs="Times New Roman"/>
          <w:sz w:val="24"/>
          <w:szCs w:val="24"/>
        </w:rPr>
        <w:fldChar w:fldCharType="end"/>
      </w:r>
      <w:r>
        <w:rPr>
          <w:rFonts w:ascii="Times New Roman" w:hAnsi="Times New Roman" w:cs="Times New Roman"/>
          <w:sz w:val="24"/>
          <w:szCs w:val="24"/>
        </w:rPr>
        <w:t>.</w:t>
      </w:r>
    </w:p>
    <w:p w14:paraId="3FB44DE1" w14:textId="77777777" w:rsidR="005644AB" w:rsidRPr="00360574" w:rsidRDefault="00200C0F" w:rsidP="0036057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C’est dans ce contexte que nous avons entrepris de réaliser une étude bibliométrique sur les polluants environnementaux et le TSA chez les enfants. Les résultats obtenus rendent compte des tendances sur cette thématique. </w:t>
      </w:r>
    </w:p>
    <w:p w14:paraId="031C80EA" w14:textId="77777777" w:rsidR="00B928B7" w:rsidRPr="00360574" w:rsidRDefault="005644AB" w:rsidP="00050418">
      <w:pPr>
        <w:rPr>
          <w:rFonts w:ascii="Times New Roman" w:hAnsi="Times New Roman" w:cs="Times New Roman"/>
          <w:sz w:val="24"/>
          <w:szCs w:val="24"/>
        </w:rPr>
      </w:pPr>
      <w:r>
        <w:rPr>
          <w:rFonts w:ascii="Times New Roman" w:hAnsi="Times New Roman" w:cs="Times New Roman"/>
          <w:sz w:val="24"/>
          <w:szCs w:val="24"/>
        </w:rPr>
        <w:br w:type="page"/>
      </w:r>
    </w:p>
    <w:p w14:paraId="778A521E" w14:textId="77777777" w:rsidR="00FF1489" w:rsidRPr="00360574" w:rsidRDefault="00EC6AC5" w:rsidP="00B672F8">
      <w:pPr>
        <w:pStyle w:val="Titre1"/>
        <w:numPr>
          <w:ilvl w:val="0"/>
          <w:numId w:val="5"/>
        </w:numPr>
        <w:ind w:left="426" w:hanging="426"/>
        <w:rPr>
          <w:rFonts w:ascii="Times New Roman" w:hAnsi="Times New Roman" w:cs="Times New Roman"/>
          <w:b/>
          <w:bCs/>
          <w:color w:val="000000" w:themeColor="text1"/>
          <w:sz w:val="24"/>
          <w:szCs w:val="24"/>
        </w:rPr>
      </w:pPr>
      <w:bookmarkStart w:id="3" w:name="_Toc221394028"/>
      <w:r>
        <w:rPr>
          <w:rFonts w:ascii="Times New Roman" w:hAnsi="Times New Roman" w:cs="Times New Roman"/>
          <w:b/>
          <w:bCs/>
          <w:color w:val="000000" w:themeColor="text1"/>
          <w:sz w:val="24"/>
          <w:szCs w:val="24"/>
        </w:rPr>
        <w:lastRenderedPageBreak/>
        <w:t>Méthode de collecte et de recherche des données</w:t>
      </w:r>
      <w:bookmarkEnd w:id="3"/>
    </w:p>
    <w:p w14:paraId="107D4330" w14:textId="77777777" w:rsidR="00F605CA" w:rsidRPr="00360574" w:rsidRDefault="00444341" w:rsidP="006B04A2">
      <w:pPr>
        <w:pStyle w:val="Paragraphedeliste"/>
        <w:numPr>
          <w:ilvl w:val="1"/>
          <w:numId w:val="7"/>
        </w:numPr>
        <w:ind w:left="567" w:hanging="567"/>
        <w:rPr>
          <w:rFonts w:ascii="Times New Roman" w:hAnsi="Times New Roman" w:cs="Times New Roman"/>
          <w:b/>
          <w:bCs/>
          <w:sz w:val="24"/>
          <w:szCs w:val="24"/>
        </w:rPr>
      </w:pPr>
      <w:r>
        <w:rPr>
          <w:rFonts w:ascii="Times New Roman" w:hAnsi="Times New Roman" w:cs="Times New Roman"/>
          <w:b/>
          <w:bCs/>
          <w:sz w:val="24"/>
          <w:szCs w:val="24"/>
        </w:rPr>
        <w:t xml:space="preserve"> Sources et caractéristiques des données </w:t>
      </w:r>
    </w:p>
    <w:p w14:paraId="30873D6A" w14:textId="77777777" w:rsidR="00F605CA" w:rsidRPr="00360574" w:rsidRDefault="00F605CA" w:rsidP="00F605CA">
      <w:pPr>
        <w:tabs>
          <w:tab w:val="center" w:pos="1302"/>
        </w:tabs>
        <w:spacing w:line="360" w:lineRule="auto"/>
        <w:ind w:firstLine="426"/>
        <w:jc w:val="both"/>
        <w:rPr>
          <w:rFonts w:ascii="Times New Roman" w:eastAsia="Times New Roman" w:hAnsi="Times New Roman" w:cs="Times New Roman"/>
          <w:color w:val="000000" w:themeColor="text1"/>
          <w:kern w:val="0"/>
          <w:sz w:val="24"/>
          <w:szCs w:val="24"/>
          <w:lang w:eastAsia="fr-029"/>
          <w14:ligatures w14:val="none"/>
        </w:rPr>
      </w:pPr>
      <w:r>
        <w:rPr>
          <w:rFonts w:ascii="Times New Roman" w:eastAsia="Times New Roman" w:hAnsi="Times New Roman" w:cs="Times New Roman"/>
          <w:color w:val="000000" w:themeColor="text1"/>
          <w:kern w:val="0"/>
          <w:sz w:val="24"/>
          <w:szCs w:val="24"/>
          <w:lang w:eastAsia="fr-029"/>
          <w14:ligatures w14:val="none"/>
        </w:rPr>
        <w:t xml:space="preserve">Les données bibliographiques analysées dans cette étude ont été extraites de la base Web of Science Core Collection (WoS), sélectionnée pour la fiabilité et la qualité de ses métadonnées. Les critères d’éligibilité des études incluses dans cette revue ont été définis selon la stratégie PECOS utilisée dans une précédente revue systématique sur les polluants environnementaux et le TSA chez les enfants. La population d’intérêt comprenait des enfants et des adolescents âgés de 0 à 18 ans </w:t>
      </w:r>
      <w:r>
        <w:rPr>
          <w:rFonts w:ascii="Times New Roman" w:eastAsia="Times New Roman" w:hAnsi="Times New Roman" w:cs="Times New Roman"/>
          <w:color w:val="000000" w:themeColor="text1"/>
          <w:kern w:val="0"/>
          <w:sz w:val="24"/>
          <w:szCs w:val="24"/>
          <w:lang w:eastAsia="fr-029"/>
          <w14:ligatures w14:val="none"/>
        </w:rPr>
        <w:fldChar w:fldCharType="begin"/>
      </w:r>
      <w:r>
        <w:rPr>
          <w:rFonts w:ascii="Times New Roman" w:eastAsia="Times New Roman" w:hAnsi="Times New Roman" w:cs="Times New Roman"/>
          <w:color w:val="000000" w:themeColor="text1"/>
          <w:kern w:val="0"/>
          <w:sz w:val="24"/>
          <w:szCs w:val="24"/>
          <w:lang w:eastAsia="fr-029"/>
          <w14:ligatures w14:val="none"/>
        </w:rPr>
        <w:instrText xml:space="preserve"> ADDIN ZOTERO_ITEM CSL_CITATION {"citationID":"mJZkT8vj","properties":{"unsorted":false,"formattedCitation":"[14]","plainCitation":"[14]","noteIndex":0},"citationItems":[{"id":219,"uris":["http://zotero.org/users/local/YhcVOeki/items/QRUG4JLC"],"itemData":{"id":219,"type":"article-journal","abstract":"Autism Spectrum Disorder (ASD) is a lifelong neurodevelopmental condition affecting communication, social interaction, and behavior. Evidence suggests that environmental pollutants are associated with ASD incidence. This review aimed to analyze the effect of environmental pollutants on ASD.","container-title":"BMC Public Health","DOI":"10.1186/s12889-024-19742-w","ISSN":"1471-2458","issue":"1","journalAbbreviation":"BMC Public Health","language":"en","page":"2388","source":"Springer Link","title":"Environmental pollutants as risk factors for autism spectrum disorders: a systematic review and meta-analysis of cohort studies","title-short":"Environmental pollutants as risk factors for autism spectrum disorders","volume":"24","author":[{"family":"Duque-Cartagena","given":"Tatiana"},{"family":"Dalla","given":"Marcello Dala Bernardina"},{"family":"Mundstock","given":"Eduardo"},{"family":"Neto","given":"Felipe Kalil"},{"family":"Espinoza","given":"Sergio Angelo Rojas"},{"family":"Moura","given":"Sara Kvitko","non-dropping-particle":"de"},{"family":"Zanirati","given":"Gabriele"},{"family":"Padoin","given":"Alexandre Vontobel"},{"family":"Jimenez","given":"Juan Gabriel Piñeros"},{"family":"Stein","given":"Airton Tetelbom"},{"family":"Cañon-Montañez","given":"Wilson"},{"family":"Mattiello","given":"Rita"}],"issued":{"date-parts":[["2024",9,3]]}}}],"schema":"https://github.com/citation-style-language/schema/raw/master/csl-citation.json"} </w:instrText>
      </w:r>
      <w:r>
        <w:rPr>
          <w:rFonts w:ascii="Times New Roman" w:eastAsia="Times New Roman" w:hAnsi="Times New Roman" w:cs="Times New Roman"/>
          <w:color w:val="000000" w:themeColor="text1"/>
          <w:kern w:val="0"/>
          <w:sz w:val="24"/>
          <w:szCs w:val="24"/>
          <w:lang w:eastAsia="fr-029"/>
          <w14:ligatures w14:val="none"/>
        </w:rPr>
        <w:fldChar w:fldCharType="separate"/>
      </w:r>
      <w:r>
        <w:rPr>
          <w:rFonts w:ascii="Times New Roman" w:hAnsi="Times New Roman" w:cs="Times New Roman"/>
          <w:sz w:val="24"/>
        </w:rPr>
        <w:t>[14]</w:t>
      </w:r>
      <w:r>
        <w:rPr>
          <w:rFonts w:ascii="Times New Roman" w:eastAsia="Times New Roman" w:hAnsi="Times New Roman" w:cs="Times New Roman"/>
          <w:color w:val="000000" w:themeColor="text1"/>
          <w:kern w:val="0"/>
          <w:sz w:val="24"/>
          <w:szCs w:val="24"/>
          <w:lang w:eastAsia="fr-029"/>
          <w14:ligatures w14:val="none"/>
        </w:rPr>
        <w:fldChar w:fldCharType="end"/>
      </w:r>
      <w:r>
        <w:rPr>
          <w:rFonts w:ascii="Times New Roman" w:eastAsia="Times New Roman" w:hAnsi="Times New Roman" w:cs="Times New Roman"/>
          <w:color w:val="000000" w:themeColor="text1"/>
          <w:kern w:val="0"/>
          <w:sz w:val="24"/>
          <w:szCs w:val="24"/>
          <w:lang w:eastAsia="fr-029"/>
          <w14:ligatures w14:val="none"/>
        </w:rPr>
        <w:t xml:space="preserve">. L’exposition concernait des niveaux élevés de polluants environnementaux, incluant notamment les polluants atmosphériques (particules fines </w:t>
      </w:r>
      <w:r>
        <w:rPr>
          <w:rFonts w:ascii="Times New Roman" w:eastAsia="Times New Roman" w:hAnsi="Times New Roman" w:cs="Times New Roman"/>
          <w:i/>
          <w:iCs/>
          <w:color w:val="000000" w:themeColor="text1"/>
          <w:kern w:val="0"/>
          <w:sz w:val="24"/>
          <w:szCs w:val="24"/>
          <w:lang w:eastAsia="fr-029"/>
          <w14:ligatures w14:val="none"/>
        </w:rPr>
        <w:t>PM</w:t>
      </w:r>
      <w:r>
        <w:rPr>
          <w:rFonts w:ascii="Times New Roman" w:eastAsia="Times New Roman" w:hAnsi="Times New Roman" w:cs="Times New Roman"/>
          <w:color w:val="000000" w:themeColor="text1"/>
          <w:kern w:val="0"/>
          <w:sz w:val="24"/>
          <w:szCs w:val="24"/>
          <w:lang w:eastAsia="fr-029"/>
          <w14:ligatures w14:val="none"/>
        </w:rPr>
        <w:t xml:space="preserve">, ozone troposphérique, monoxyde de carbone, oxydes d’azote et de soufre, suie, cendres de charbon), les composés chimiques industriels (biphényles polychlorés [PCB], dioxines, furans, composés organiques volatils, hydrocarbures), les métaux et substances inorganiques (plomb et autres composés inorganiques), ainsi que les pesticides et perturbateurs endocriniens (organophosphates, carbamates, phtalates, pesticides halogénés et composés apparentés) </w:t>
      </w:r>
      <w:r>
        <w:rPr>
          <w:rFonts w:ascii="Times New Roman" w:eastAsia="Times New Roman" w:hAnsi="Times New Roman" w:cs="Times New Roman"/>
          <w:color w:val="000000" w:themeColor="text1"/>
          <w:kern w:val="0"/>
          <w:sz w:val="24"/>
          <w:szCs w:val="24"/>
          <w:lang w:eastAsia="fr-029"/>
          <w14:ligatures w14:val="none"/>
        </w:rPr>
        <w:fldChar w:fldCharType="begin"/>
      </w:r>
      <w:r>
        <w:rPr>
          <w:rFonts w:ascii="Times New Roman" w:eastAsia="Times New Roman" w:hAnsi="Times New Roman" w:cs="Times New Roman"/>
          <w:color w:val="000000" w:themeColor="text1"/>
          <w:kern w:val="0"/>
          <w:sz w:val="24"/>
          <w:szCs w:val="24"/>
          <w:lang w:eastAsia="fr-029"/>
          <w14:ligatures w14:val="none"/>
        </w:rPr>
        <w:instrText xml:space="preserve"> ADDIN ZOTERO_ITEM CSL_CITATION {"citationID":"T74eg7fy","properties":{"unsorted":false,"formattedCitation":"[15]","plainCitation":"[15]","noteIndex":0},"citationItems":[{"id":225,"uris":["http://zotero.org/users/local/YhcVOeki/items/4FA2RXWD"],"itemData":{"id":225,"type":"webpage","abstract":"How the EPA conducts risk assessment to protect human health and the environment. Several assessments are included with the guidelines, models, databases, state-based RSL Tables, local contacts and framework documents used to perform these assessments.","genre":"Collections and Lists","language":"en","note":"archive_location: Multi-State Regions","title":"Risk Assessment","URL":"https://www.epa.gov/risk","author":[{"family":"US EPA","given":"ORD"}],"accessed":{"date-parts":[["2026",2,6]]},"issued":{"date-parts":[["2013",9,26]]}}}],"schema":"https://github.com/citation-style-language/schema/raw/master/csl-citation.json"} </w:instrText>
      </w:r>
      <w:r>
        <w:rPr>
          <w:rFonts w:ascii="Times New Roman" w:eastAsia="Times New Roman" w:hAnsi="Times New Roman" w:cs="Times New Roman"/>
          <w:color w:val="000000" w:themeColor="text1"/>
          <w:kern w:val="0"/>
          <w:sz w:val="24"/>
          <w:szCs w:val="24"/>
          <w:lang w:eastAsia="fr-029"/>
          <w14:ligatures w14:val="none"/>
        </w:rPr>
        <w:fldChar w:fldCharType="separate"/>
      </w:r>
      <w:r>
        <w:rPr>
          <w:rFonts w:ascii="Times New Roman" w:hAnsi="Times New Roman" w:cs="Times New Roman"/>
          <w:sz w:val="24"/>
        </w:rPr>
        <w:t>[15]</w:t>
      </w:r>
      <w:r>
        <w:rPr>
          <w:rFonts w:ascii="Times New Roman" w:eastAsia="Times New Roman" w:hAnsi="Times New Roman" w:cs="Times New Roman"/>
          <w:color w:val="000000" w:themeColor="text1"/>
          <w:kern w:val="0"/>
          <w:sz w:val="24"/>
          <w:szCs w:val="24"/>
          <w:lang w:eastAsia="fr-029"/>
          <w14:ligatures w14:val="none"/>
        </w:rPr>
        <w:fldChar w:fldCharType="end"/>
      </w:r>
      <w:r>
        <w:rPr>
          <w:rFonts w:ascii="Times New Roman" w:eastAsia="Times New Roman" w:hAnsi="Times New Roman" w:cs="Times New Roman"/>
          <w:color w:val="000000" w:themeColor="text1"/>
          <w:kern w:val="0"/>
          <w:sz w:val="24"/>
          <w:szCs w:val="24"/>
          <w:lang w:eastAsia="fr-029"/>
          <w14:ligatures w14:val="none"/>
        </w:rPr>
        <w:t>.</w:t>
      </w:r>
    </w:p>
    <w:p w14:paraId="4F4BCF18" w14:textId="77777777" w:rsidR="00F605CA" w:rsidRPr="00360574" w:rsidRDefault="00F605CA" w:rsidP="00F605CA">
      <w:pPr>
        <w:tabs>
          <w:tab w:val="center" w:pos="1302"/>
        </w:tabs>
        <w:spacing w:line="360" w:lineRule="auto"/>
        <w:ind w:firstLine="426"/>
        <w:jc w:val="both"/>
        <w:rPr>
          <w:rFonts w:ascii="Times New Roman" w:eastAsia="Times New Roman" w:hAnsi="Times New Roman" w:cs="Times New Roman"/>
          <w:color w:val="000000" w:themeColor="text1"/>
          <w:kern w:val="0"/>
          <w:sz w:val="24"/>
          <w:szCs w:val="24"/>
          <w:lang w:eastAsia="fr-029"/>
          <w14:ligatures w14:val="none"/>
        </w:rPr>
      </w:pPr>
      <w:r>
        <w:rPr>
          <w:rFonts w:ascii="Times New Roman" w:eastAsia="Times New Roman" w:hAnsi="Times New Roman" w:cs="Times New Roman"/>
          <w:color w:val="000000" w:themeColor="text1"/>
          <w:kern w:val="0"/>
          <w:sz w:val="24"/>
          <w:szCs w:val="24"/>
          <w:lang w:eastAsia="fr-029"/>
          <w14:ligatures w14:val="none"/>
        </w:rPr>
        <w:t xml:space="preserve">Ainsi, l’équation de recherche avancée en trois étapes est la suivante :  </w:t>
      </w:r>
      <w:r>
        <w:rPr>
          <w:rFonts w:ascii="Times New Roman" w:eastAsia="Times New Roman" w:hAnsi="Times New Roman" w:cs="Times New Roman"/>
          <w:b/>
          <w:bCs/>
          <w:i/>
          <w:iCs/>
          <w:color w:val="000000" w:themeColor="text1"/>
          <w:kern w:val="0"/>
          <w:sz w:val="24"/>
          <w:szCs w:val="24"/>
          <w:lang w:eastAsia="fr-029"/>
          <w14:ligatures w14:val="none"/>
        </w:rPr>
        <w:t>« </w:t>
      </w:r>
      <w:r>
        <w:rPr>
          <w:rFonts w:ascii="Times New Roman" w:hAnsi="Times New Roman" w:cs="Times New Roman"/>
          <w:b/>
          <w:bCs/>
          <w:i/>
          <w:iCs/>
          <w:sz w:val="24"/>
          <w:szCs w:val="24"/>
          <w:lang w:val="fr-029"/>
        </w:rPr>
        <w:t>(((((("Pregnancy") OR ("Fetus")) OR ("Newborn")) OR ("Infant")) OR ("Preschool Child")) OR ("Children")) OR ("Adolescent") » AND  « </w:t>
      </w:r>
      <w:r>
        <w:rPr>
          <w:rFonts w:ascii="Times New Roman" w:hAnsi="Times New Roman" w:cs="Times New Roman"/>
          <w:b/>
          <w:bCs/>
          <w:i/>
          <w:iCs/>
          <w:sz w:val="24"/>
          <w:szCs w:val="24"/>
        </w:rPr>
        <w:t>((((((((((((((("Environmental Pollution") OR ("Air Pollution")) OR("Particulate Matter")) OR ("Carbon Compounds, Inorganic")) OR ("Lead"))OR ("Sulfur Oxides")) OR ("Nitrogen Oxides")) OR ("Soot")) OR("Inorganic Chemicals")) OR ("Pesticides")) OR ("Hydrocarbons")) OR("Volatile Organic Compounds")) OR ("Polychlorinated Biphenyls")) OR("Endocrine Disruptors")) OR ("Plasticizers")) OR ("Plastics") » AND « AB=((("Autism Spectrum Disorder") OR ("Autism Spectrum Disorders"))OR ("Autistic Spectrum Disorder")) OR ("Disorder, Autistic Spectrum") ».</w:t>
      </w:r>
      <w:r>
        <w:rPr>
          <w:rFonts w:ascii="Times New Roman" w:hAnsi="Times New Roman" w:cs="Times New Roman"/>
          <w:b/>
          <w:bCs/>
          <w:sz w:val="24"/>
          <w:szCs w:val="24"/>
        </w:rPr>
        <w:t xml:space="preserve"> </w:t>
      </w:r>
      <w:r>
        <w:rPr>
          <w:rFonts w:ascii="Times New Roman" w:eastAsia="Times New Roman" w:hAnsi="Times New Roman" w:cs="Times New Roman"/>
          <w:color w:val="000000" w:themeColor="text1"/>
          <w:kern w:val="0"/>
          <w:sz w:val="24"/>
          <w:szCs w:val="24"/>
          <w:lang w:eastAsia="fr-029"/>
          <w14:ligatures w14:val="none"/>
        </w:rPr>
        <w:t xml:space="preserve">La recherche a couvert la période allant de la création de la base de données jusqu’au premier février 2026. Un total de 1659 documents a été obtenu à la suite de cette requête </w:t>
      </w:r>
    </w:p>
    <w:p w14:paraId="2A549F6A" w14:textId="77777777" w:rsidR="00F605CA" w:rsidRPr="00360574" w:rsidRDefault="00F605CA" w:rsidP="006B04A2">
      <w:pPr>
        <w:pStyle w:val="Paragraphedeliste"/>
        <w:numPr>
          <w:ilvl w:val="1"/>
          <w:numId w:val="7"/>
        </w:numPr>
        <w:ind w:left="567" w:hanging="567"/>
        <w:rPr>
          <w:rFonts w:ascii="Times New Roman" w:hAnsi="Times New Roman" w:cs="Times New Roman"/>
          <w:b/>
          <w:bCs/>
          <w:sz w:val="24"/>
          <w:szCs w:val="24"/>
        </w:rPr>
      </w:pPr>
      <w:r>
        <w:rPr>
          <w:rFonts w:ascii="Times New Roman" w:hAnsi="Times New Roman" w:cs="Times New Roman"/>
          <w:b/>
          <w:bCs/>
          <w:sz w:val="24"/>
          <w:szCs w:val="24"/>
        </w:rPr>
        <w:t>Critères d’exclusion</w:t>
      </w:r>
    </w:p>
    <w:p w14:paraId="0B747B3B" w14:textId="77777777" w:rsidR="00F605CA" w:rsidRPr="00360574" w:rsidRDefault="00F605CA" w:rsidP="00390A2C">
      <w:pPr>
        <w:tabs>
          <w:tab w:val="center" w:pos="1302"/>
        </w:tabs>
        <w:spacing w:line="360" w:lineRule="auto"/>
        <w:ind w:firstLine="567"/>
        <w:jc w:val="both"/>
        <w:rPr>
          <w:rFonts w:ascii="Times New Roman" w:hAnsi="Times New Roman" w:cs="Times New Roman"/>
          <w:sz w:val="24"/>
          <w:szCs w:val="24"/>
          <w:lang w:val="fr-029"/>
        </w:rPr>
      </w:pPr>
      <w:r>
        <w:rPr>
          <w:rFonts w:ascii="Times New Roman" w:eastAsia="Times New Roman" w:hAnsi="Times New Roman" w:cs="Times New Roman"/>
          <w:color w:val="000000" w:themeColor="text1"/>
          <w:kern w:val="0"/>
          <w:sz w:val="24"/>
          <w:szCs w:val="24"/>
          <w:lang w:eastAsia="fr-029"/>
          <w14:ligatures w14:val="none"/>
        </w:rPr>
        <w:t xml:space="preserve">De la liste de document obtenus, nous avions exclu tous ceux incluant exclusivement des participants âgés de 19 ans ou plus, celles ne permettant pas d’analyser les expositions environnementales au cours des périodes critiques du développement de l’enfant et de l’adolescent. Par ailleurs, les publications ne correspondant pas à des articles de recherche originaux, telles que les lettres de réponse, commentaires, éditoriaux, ainsi que les études expérimentales menées chez l’animal, ont été exclues du corpus analysé. </w:t>
      </w:r>
    </w:p>
    <w:p w14:paraId="0EA8321F" w14:textId="77777777" w:rsidR="00F605CA" w:rsidRPr="00360574" w:rsidRDefault="00F605CA" w:rsidP="006B04A2">
      <w:pPr>
        <w:pStyle w:val="Paragraphedeliste"/>
        <w:numPr>
          <w:ilvl w:val="1"/>
          <w:numId w:val="7"/>
        </w:numPr>
        <w:ind w:left="567" w:hanging="567"/>
        <w:rPr>
          <w:rFonts w:ascii="Times New Roman" w:hAnsi="Times New Roman" w:cs="Times New Roman"/>
          <w:b/>
          <w:bCs/>
          <w:sz w:val="24"/>
          <w:szCs w:val="24"/>
        </w:rPr>
      </w:pPr>
      <w:r>
        <w:rPr>
          <w:rFonts w:ascii="Times New Roman" w:hAnsi="Times New Roman" w:cs="Times New Roman"/>
          <w:b/>
          <w:bCs/>
          <w:sz w:val="24"/>
          <w:szCs w:val="24"/>
        </w:rPr>
        <w:lastRenderedPageBreak/>
        <w:t xml:space="preserve">Traitement et analyse des données </w:t>
      </w:r>
    </w:p>
    <w:p w14:paraId="65977EC4" w14:textId="1C0B21EB" w:rsidR="00F605CA" w:rsidRPr="00360574" w:rsidRDefault="00F605CA" w:rsidP="00F605CA">
      <w:pPr>
        <w:spacing w:line="360" w:lineRule="auto"/>
        <w:ind w:firstLine="426"/>
        <w:jc w:val="both"/>
        <w:rPr>
          <w:rFonts w:ascii="Times New Roman" w:eastAsia="Times New Roman" w:hAnsi="Times New Roman" w:cs="Times New Roman"/>
          <w:color w:val="000000" w:themeColor="text1"/>
          <w:kern w:val="0"/>
          <w:sz w:val="24"/>
          <w:szCs w:val="24"/>
          <w:lang w:eastAsia="fr-029"/>
          <w14:ligatures w14:val="none"/>
        </w:rPr>
      </w:pPr>
      <w:r>
        <w:rPr>
          <w:rFonts w:ascii="Times New Roman" w:eastAsia="Times New Roman" w:hAnsi="Times New Roman" w:cs="Times New Roman"/>
          <w:color w:val="000000" w:themeColor="text1"/>
          <w:kern w:val="0"/>
          <w:sz w:val="24"/>
          <w:szCs w:val="24"/>
          <w:lang w:eastAsia="fr-029"/>
          <w14:ligatures w14:val="none"/>
        </w:rPr>
        <w:t>A la suite de la recherche documentaire, l’exportation des 1 574 articles fut réalisé en quatre fichiers dont trois de 500 articles et un dernier de 74. Nous avions procédé à la fusion des quatre fichiers au format « plaintext » puis à l’analyse du corpus fusionné avec le package bibliometrix de R</w:t>
      </w:r>
      <w:r w:rsidR="00DE4CD6">
        <w:rPr>
          <w:rFonts w:ascii="Times New Roman" w:eastAsia="Times New Roman" w:hAnsi="Times New Roman" w:cs="Times New Roman"/>
          <w:color w:val="000000" w:themeColor="text1"/>
          <w:kern w:val="0"/>
          <w:sz w:val="24"/>
          <w:szCs w:val="24"/>
          <w:lang w:eastAsia="fr-029"/>
          <w14:ligatures w14:val="none"/>
        </w:rPr>
        <w:t xml:space="preserve"> (</w:t>
      </w:r>
      <w:r w:rsidR="00C467FF">
        <w:rPr>
          <w:rFonts w:ascii="Times New Roman" w:eastAsia="Times New Roman" w:hAnsi="Times New Roman" w:cs="Times New Roman"/>
          <w:color w:val="000000" w:themeColor="text1"/>
          <w:kern w:val="0"/>
          <w:sz w:val="24"/>
          <w:szCs w:val="24"/>
          <w:lang w:eastAsia="fr-029"/>
          <w14:ligatures w14:val="none"/>
        </w:rPr>
        <w:t>V</w:t>
      </w:r>
      <w:r w:rsidR="00DE4CD6">
        <w:rPr>
          <w:rFonts w:ascii="Times New Roman" w:eastAsia="Times New Roman" w:hAnsi="Times New Roman" w:cs="Times New Roman"/>
          <w:color w:val="000000" w:themeColor="text1"/>
          <w:kern w:val="0"/>
          <w:sz w:val="24"/>
          <w:szCs w:val="24"/>
          <w:lang w:eastAsia="fr-029"/>
          <w14:ligatures w14:val="none"/>
        </w:rPr>
        <w:t>ersion 4.5.2)</w:t>
      </w:r>
      <w:r>
        <w:rPr>
          <w:rFonts w:ascii="Times New Roman" w:eastAsia="Times New Roman" w:hAnsi="Times New Roman" w:cs="Times New Roman"/>
          <w:color w:val="000000" w:themeColor="text1"/>
          <w:kern w:val="0"/>
          <w:sz w:val="24"/>
          <w:szCs w:val="24"/>
          <w:lang w:eastAsia="fr-029"/>
          <w14:ligatures w14:val="none"/>
        </w:rPr>
        <w:t xml:space="preserve"> et le logiciel VOSviewer</w:t>
      </w:r>
      <w:r w:rsidR="00C467FF">
        <w:rPr>
          <w:rFonts w:ascii="Times New Roman" w:eastAsia="Times New Roman" w:hAnsi="Times New Roman" w:cs="Times New Roman"/>
          <w:color w:val="000000" w:themeColor="text1"/>
          <w:kern w:val="0"/>
          <w:sz w:val="24"/>
          <w:szCs w:val="24"/>
          <w:lang w:eastAsia="fr-029"/>
          <w14:ligatures w14:val="none"/>
        </w:rPr>
        <w:t xml:space="preserve"> (Version 1.6.20)</w:t>
      </w:r>
      <w:r>
        <w:rPr>
          <w:rFonts w:ascii="Times New Roman" w:eastAsia="Times New Roman" w:hAnsi="Times New Roman" w:cs="Times New Roman"/>
          <w:color w:val="000000" w:themeColor="text1"/>
          <w:kern w:val="0"/>
          <w:sz w:val="24"/>
          <w:szCs w:val="24"/>
          <w:lang w:eastAsia="fr-029"/>
          <w14:ligatures w14:val="none"/>
        </w:rPr>
        <w:t xml:space="preserve">. L’analyse des données fut descriptive et analytique. L’analyse descriptive a consisté en une réalisation de figures et de tableaux permettant de mettre en exergue entre autres les pays et les auteurs les plus productifs sur la recherche sur les polluants environnementaux et le TSA chez les enfants. Au niveau de l’analyse du champ de recherche, nous avions réalisé une cartographie conceptuelle en analysant la cooccurrence des mots clés des articles puis en décrivant chacun des groupes de mots obtenus. </w:t>
      </w:r>
    </w:p>
    <w:p w14:paraId="7FE7052F" w14:textId="77777777" w:rsidR="00CA6ED7" w:rsidRPr="00360574" w:rsidRDefault="00CA6ED7" w:rsidP="00F605CA">
      <w:pPr>
        <w:pStyle w:val="Titre1"/>
        <w:numPr>
          <w:ilvl w:val="0"/>
          <w:numId w:val="5"/>
        </w:numPr>
        <w:ind w:left="426" w:hanging="426"/>
        <w:rPr>
          <w:rFonts w:ascii="Times New Roman" w:hAnsi="Times New Roman" w:cs="Times New Roman"/>
          <w:b/>
          <w:bCs/>
          <w:color w:val="000000" w:themeColor="text1"/>
          <w:sz w:val="24"/>
          <w:szCs w:val="24"/>
        </w:rPr>
        <w:sectPr w:rsidR="00CA6ED7" w:rsidRPr="00360574" w:rsidSect="00A97E13">
          <w:pgSz w:w="11906" w:h="16838"/>
          <w:pgMar w:top="1417" w:right="1417" w:bottom="1417" w:left="1417" w:header="708" w:footer="708" w:gutter="0"/>
          <w:cols w:space="708"/>
          <w:docGrid w:linePitch="360"/>
        </w:sectPr>
      </w:pPr>
    </w:p>
    <w:p w14:paraId="5CBED010" w14:textId="77777777" w:rsidR="00804188" w:rsidRPr="00360574" w:rsidRDefault="00804188" w:rsidP="00F605CA">
      <w:pPr>
        <w:pStyle w:val="Titre1"/>
        <w:numPr>
          <w:ilvl w:val="0"/>
          <w:numId w:val="5"/>
        </w:numPr>
        <w:spacing w:before="0"/>
        <w:ind w:left="426" w:hanging="426"/>
        <w:rPr>
          <w:rFonts w:ascii="Times New Roman" w:hAnsi="Times New Roman" w:cs="Times New Roman"/>
          <w:b/>
          <w:bCs/>
          <w:color w:val="000000" w:themeColor="text1"/>
          <w:sz w:val="24"/>
          <w:szCs w:val="24"/>
        </w:rPr>
      </w:pPr>
      <w:bookmarkStart w:id="4" w:name="_Toc221394029"/>
      <w:r>
        <w:rPr>
          <w:rFonts w:ascii="Times New Roman" w:hAnsi="Times New Roman" w:cs="Times New Roman"/>
          <w:b/>
          <w:bCs/>
          <w:color w:val="000000" w:themeColor="text1"/>
          <w:sz w:val="24"/>
          <w:szCs w:val="24"/>
        </w:rPr>
        <w:lastRenderedPageBreak/>
        <w:t>Résultats</w:t>
      </w:r>
      <w:bookmarkEnd w:id="4"/>
    </w:p>
    <w:p w14:paraId="1F40D68C" w14:textId="77777777" w:rsidR="0085086F" w:rsidRPr="00360574" w:rsidRDefault="0085086F" w:rsidP="007D7B09">
      <w:pPr>
        <w:pStyle w:val="Titre2"/>
        <w:numPr>
          <w:ilvl w:val="1"/>
          <w:numId w:val="9"/>
        </w:numPr>
        <w:ind w:left="567" w:hanging="567"/>
        <w:rPr>
          <w:rFonts w:ascii="Times New Roman" w:hAnsi="Times New Roman" w:cs="Times New Roman"/>
          <w:b/>
          <w:bCs/>
          <w:sz w:val="24"/>
          <w:szCs w:val="24"/>
        </w:rPr>
      </w:pPr>
      <w:bookmarkStart w:id="5" w:name="_Toc221394030"/>
      <w:r>
        <w:rPr>
          <w:rFonts w:ascii="Times New Roman" w:hAnsi="Times New Roman" w:cs="Times New Roman"/>
          <w:b/>
          <w:bCs/>
          <w:color w:val="000000" w:themeColor="text1"/>
          <w:sz w:val="24"/>
          <w:szCs w:val="24"/>
        </w:rPr>
        <w:t>Analyse de la performance</w:t>
      </w:r>
      <w:bookmarkEnd w:id="5"/>
    </w:p>
    <w:p w14:paraId="15737F72" w14:textId="77777777" w:rsidR="00873824" w:rsidRPr="00360574" w:rsidRDefault="006579C7" w:rsidP="007D7B09">
      <w:pPr>
        <w:pStyle w:val="Titre3"/>
        <w:numPr>
          <w:ilvl w:val="2"/>
          <w:numId w:val="9"/>
        </w:numPr>
        <w:ind w:left="567" w:hanging="567"/>
        <w:rPr>
          <w:rFonts w:ascii="Times New Roman" w:hAnsi="Times New Roman" w:cs="Times New Roman"/>
          <w:b/>
          <w:bCs/>
          <w:color w:val="000000" w:themeColor="text1"/>
          <w:sz w:val="24"/>
          <w:szCs w:val="24"/>
        </w:rPr>
      </w:pPr>
      <w:bookmarkStart w:id="6" w:name="_Toc221394031"/>
      <w:r>
        <w:rPr>
          <w:rFonts w:ascii="Times New Roman" w:hAnsi="Times New Roman" w:cs="Times New Roman"/>
          <w:b/>
          <w:bCs/>
          <w:color w:val="000000" w:themeColor="text1"/>
          <w:sz w:val="24"/>
          <w:szCs w:val="24"/>
        </w:rPr>
        <w:t>Publications annuelles sur le TSA et les polluants environnementaux</w:t>
      </w:r>
      <w:bookmarkEnd w:id="6"/>
    </w:p>
    <w:p w14:paraId="0AECEFF1" w14:textId="77777777" w:rsidR="00A9665D" w:rsidRPr="00360574" w:rsidRDefault="00113B3B" w:rsidP="00262914">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Cette revue bibliométrique, portant sur un total de 1574 articles, met en évidence une augmentation progressive et continue de la production scientifique consacrée aux liens entre le TSA et les facteurs environnementaux chez les enfants et adolescents âgés de 0 à 18 ans. Jusqu’au début des années 2000, le nombre de publications est demeuré très limité. Mais à partir des années 2000, une montée du nombre de publications est observée. La croissance devient nettement plus marquée à partir de 2011, indiquant une intensification des travaux portant sur les facteurs environnementaux associés au TSA. Enfin, l’augmentation importante observée à partir de 2019 témoigne d’un intérêt scientifique accru pour ces problématiques environnementales dans le contexte du TSA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_Ref221257608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b/>
          <w:bCs/>
          <w:i/>
          <w:iCs/>
          <w:sz w:val="24"/>
          <w:szCs w:val="24"/>
        </w:rPr>
        <w:t xml:space="preserve">Figure </w:t>
      </w:r>
      <w:r>
        <w:rPr>
          <w:rFonts w:ascii="Times New Roman" w:hAnsi="Times New Roman" w:cs="Times New Roman"/>
          <w:b/>
          <w:bCs/>
          <w:i/>
          <w:iCs/>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w:t>
      </w:r>
    </w:p>
    <w:p w14:paraId="741CE200" w14:textId="77777777" w:rsidR="006579C7" w:rsidRPr="00360574" w:rsidRDefault="000E00C1" w:rsidP="007D7B09">
      <w:pPr>
        <w:pStyle w:val="Titre3"/>
        <w:numPr>
          <w:ilvl w:val="2"/>
          <w:numId w:val="9"/>
        </w:numPr>
        <w:ind w:left="709"/>
        <w:rPr>
          <w:rFonts w:ascii="Times New Roman" w:hAnsi="Times New Roman" w:cs="Times New Roman"/>
          <w:b/>
          <w:bCs/>
          <w:color w:val="000000" w:themeColor="text1"/>
          <w:sz w:val="24"/>
          <w:szCs w:val="24"/>
        </w:rPr>
      </w:pPr>
      <w:bookmarkStart w:id="7" w:name="_Toc221394032"/>
      <w:r>
        <w:rPr>
          <w:rFonts w:ascii="Times New Roman" w:hAnsi="Times New Roman" w:cs="Times New Roman"/>
          <w:b/>
          <w:bCs/>
          <w:color w:val="000000" w:themeColor="text1"/>
          <w:sz w:val="24"/>
          <w:szCs w:val="24"/>
        </w:rPr>
        <w:t>Pays et auteurs les plus productifs</w:t>
      </w:r>
      <w:bookmarkEnd w:id="7"/>
    </w:p>
    <w:p w14:paraId="13170DC4" w14:textId="0920995C" w:rsidR="00C305E0" w:rsidRPr="00360574" w:rsidRDefault="00DC79CE" w:rsidP="00262914">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Les recherches portant sur les liens entre le TSA et les facteurs environnementaux chez les enfants et adolescents ont mobilisé des chercheurs issus de nombreux pays, et ces articles ont été cités 48 126 fois. L’analyse de la productivité scientifique par pays montre une domination nette des États-Unis, qui concentrent de loin le plus grand nombre de publications. La Chine, le Canada et le Royaume-Uni figurent également parmi les pays les plus productifs. La distinction entre publications menées au sein d’un seul pays (SCP) et celles issues de collaborations internationales (MCP) met en évidence une proportion non négligeable de travaux réalisés dans un cadre collaboratif, en particulier dans les pays à forte production scientifique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_Ref221257075 \h  \* MERGEFORMAT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b/>
          <w:bCs/>
          <w:i/>
          <w:iCs/>
          <w:color w:val="000000" w:themeColor="text1"/>
          <w:sz w:val="24"/>
          <w:szCs w:val="24"/>
        </w:rPr>
        <w:t xml:space="preserve">Figure </w:t>
      </w:r>
      <w:r>
        <w:rPr>
          <w:rFonts w:ascii="Times New Roman" w:hAnsi="Times New Roman" w:cs="Times New Roman"/>
          <w:b/>
          <w:bCs/>
          <w:i/>
          <w:iCs/>
          <w:noProof/>
          <w:color w:val="000000" w:themeColor="text1"/>
          <w:sz w:val="24"/>
          <w:szCs w:val="24"/>
        </w:rPr>
        <w:t>2</w:t>
      </w:r>
      <w:r>
        <w:rPr>
          <w:rFonts w:ascii="Times New Roman" w:hAnsi="Times New Roman" w:cs="Times New Roman"/>
          <w:sz w:val="24"/>
          <w:szCs w:val="24"/>
        </w:rPr>
        <w:fldChar w:fldCharType="end"/>
      </w:r>
      <w:r w:rsidR="00796F4E">
        <w:rPr>
          <w:rFonts w:ascii="Times New Roman" w:hAnsi="Times New Roman" w:cs="Times New Roman"/>
          <w:b/>
          <w:bCs/>
          <w:i/>
          <w:iCs/>
          <w:sz w:val="24"/>
          <w:szCs w:val="24"/>
        </w:rPr>
        <w:t>, Figure 3</w:t>
      </w:r>
      <w:r>
        <w:rPr>
          <w:rFonts w:ascii="Times New Roman" w:hAnsi="Times New Roman" w:cs="Times New Roman"/>
          <w:sz w:val="24"/>
          <w:szCs w:val="24"/>
        </w:rPr>
        <w:t>).</w:t>
      </w:r>
    </w:p>
    <w:p w14:paraId="5C9B8F49" w14:textId="7FC049EA" w:rsidR="001D34CD" w:rsidRPr="00564A17" w:rsidRDefault="00DC2592" w:rsidP="00564A17">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Des recherches sur le TSA et les facteurs environnementaux ont été menées par des chercheurs de nombreux pays. Certains auteurs, tels que Hertz-Picciotto, Schmidt, Croen ou Rahbar, se distinguent par un nombre élevé de publications (</w:t>
      </w:r>
      <w:r w:rsidR="00E71ACF">
        <w:rPr>
          <w:rFonts w:ascii="Times New Roman" w:hAnsi="Times New Roman" w:cs="Times New Roman"/>
          <w:b/>
          <w:bCs/>
          <w:i/>
          <w:iCs/>
          <w:sz w:val="24"/>
          <w:szCs w:val="24"/>
        </w:rPr>
        <w:t xml:space="preserve">Figure </w:t>
      </w:r>
      <w:r w:rsidR="00E71ACF">
        <w:rPr>
          <w:rFonts w:ascii="Times New Roman" w:hAnsi="Times New Roman" w:cs="Times New Roman"/>
          <w:b/>
          <w:bCs/>
          <w:i/>
          <w:iCs/>
          <w:sz w:val="24"/>
          <w:szCs w:val="24"/>
        </w:rPr>
        <w:t>4)</w:t>
      </w:r>
      <w:r>
        <w:rPr>
          <w:rFonts w:ascii="Times New Roman" w:hAnsi="Times New Roman" w:cs="Times New Roman"/>
          <w:sz w:val="24"/>
          <w:szCs w:val="24"/>
        </w:rPr>
        <w:t xml:space="preserve">. La présence d’auteurs issus de différents pays reflète également le caractère international de la recherche sur le TSA et l’environnement, tout en soulignant que la production reste largement portée par des chercheurs appartenant à des pays à hauts revenus. </w:t>
      </w:r>
      <w:r>
        <w:rPr>
          <w:rFonts w:ascii="Times New Roman" w:hAnsi="Times New Roman" w:cs="Times New Roman"/>
          <w:b/>
          <w:bCs/>
          <w:vanish/>
          <w:sz w:val="24"/>
          <w:szCs w:val="24"/>
        </w:rPr>
        <w:t>Bas du formulaire</w:t>
      </w:r>
    </w:p>
    <w:p w14:paraId="56D4B963" w14:textId="77777777" w:rsidR="006B1D77" w:rsidRPr="00360574" w:rsidRDefault="006B1D77" w:rsidP="007D7B09">
      <w:pPr>
        <w:pStyle w:val="Titre3"/>
        <w:numPr>
          <w:ilvl w:val="2"/>
          <w:numId w:val="9"/>
        </w:numPr>
        <w:ind w:left="709"/>
        <w:rPr>
          <w:rFonts w:ascii="Times New Roman" w:hAnsi="Times New Roman" w:cs="Times New Roman"/>
          <w:b/>
          <w:bCs/>
          <w:color w:val="000000" w:themeColor="text1"/>
          <w:sz w:val="24"/>
          <w:szCs w:val="24"/>
        </w:rPr>
      </w:pPr>
      <w:bookmarkStart w:id="8" w:name="_Toc221394033"/>
      <w:r>
        <w:rPr>
          <w:rFonts w:ascii="Times New Roman" w:hAnsi="Times New Roman" w:cs="Times New Roman"/>
          <w:b/>
          <w:bCs/>
          <w:color w:val="000000" w:themeColor="text1"/>
          <w:sz w:val="24"/>
          <w:szCs w:val="24"/>
        </w:rPr>
        <w:t>Fréquence moyenne de citations d’un article par an</w:t>
      </w:r>
      <w:bookmarkEnd w:id="8"/>
    </w:p>
    <w:p w14:paraId="36665440" w14:textId="739588DC" w:rsidR="004D17BE" w:rsidRPr="009B0629" w:rsidRDefault="00A66FBF" w:rsidP="009B0629">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L’évolution du nombre moyen de citations par article et par année a montré des variations marquées de l’impact scientifique des publications portant sur les liens entre le TSA et les facteurs environnementaux chez l’enfant. Vers la fin des années 1990 et surtout au début des années 2000, on observe une augmentation nette des citations moyennes d’un article, et les pics </w:t>
      </w:r>
      <w:r>
        <w:rPr>
          <w:rFonts w:ascii="Times New Roman" w:hAnsi="Times New Roman" w:cs="Times New Roman"/>
          <w:sz w:val="24"/>
          <w:szCs w:val="24"/>
        </w:rPr>
        <w:lastRenderedPageBreak/>
        <w:t>observés au cours des années suivantes suggèrent l’existence d’articles particulièrement influents. Le niveau de citations moyennes se stabilise à des valeurs relativement élevées depuis les années 2010 (</w:t>
      </w:r>
      <w:r w:rsidR="009B0629">
        <w:rPr>
          <w:rFonts w:ascii="Times New Roman" w:hAnsi="Times New Roman" w:cs="Times New Roman"/>
          <w:b/>
          <w:bCs/>
          <w:i/>
          <w:iCs/>
          <w:sz w:val="24"/>
          <w:szCs w:val="24"/>
        </w:rPr>
        <w:t xml:space="preserve">Figure </w:t>
      </w:r>
      <w:r w:rsidR="009B0629">
        <w:rPr>
          <w:rFonts w:ascii="Times New Roman" w:hAnsi="Times New Roman" w:cs="Times New Roman"/>
          <w:b/>
          <w:bCs/>
          <w:i/>
          <w:iCs/>
          <w:sz w:val="24"/>
          <w:szCs w:val="24"/>
        </w:rPr>
        <w:t>5</w:t>
      </w:r>
      <w:r>
        <w:rPr>
          <w:rFonts w:ascii="Times New Roman" w:hAnsi="Times New Roman" w:cs="Times New Roman"/>
          <w:sz w:val="24"/>
          <w:szCs w:val="24"/>
        </w:rPr>
        <w:t>).</w:t>
      </w:r>
    </w:p>
    <w:p w14:paraId="0EBAF94A" w14:textId="77777777" w:rsidR="006B1D77" w:rsidRPr="00360574" w:rsidRDefault="006B1D77" w:rsidP="007D7B09">
      <w:pPr>
        <w:pStyle w:val="Titre3"/>
        <w:numPr>
          <w:ilvl w:val="2"/>
          <w:numId w:val="9"/>
        </w:numPr>
        <w:ind w:left="709"/>
        <w:rPr>
          <w:rFonts w:ascii="Times New Roman" w:hAnsi="Times New Roman" w:cs="Times New Roman"/>
          <w:b/>
          <w:bCs/>
          <w:color w:val="000000" w:themeColor="text1"/>
          <w:sz w:val="24"/>
          <w:szCs w:val="24"/>
        </w:rPr>
      </w:pPr>
      <w:bookmarkStart w:id="9" w:name="_Toc221394034"/>
      <w:r>
        <w:rPr>
          <w:rFonts w:ascii="Times New Roman" w:hAnsi="Times New Roman" w:cs="Times New Roman"/>
          <w:b/>
          <w:bCs/>
          <w:color w:val="000000" w:themeColor="text1"/>
          <w:sz w:val="24"/>
          <w:szCs w:val="24"/>
        </w:rPr>
        <w:t>Nombre moyen total de citations par an sur la période couverte</w:t>
      </w:r>
      <w:bookmarkEnd w:id="9"/>
    </w:p>
    <w:p w14:paraId="0F6E6223" w14:textId="744C58FE" w:rsidR="00262914" w:rsidRPr="009B0629" w:rsidRDefault="00DC164B" w:rsidP="009B0629">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L’évolution du nombre total moyen de citations par année a montré des fluctuations importantes des études consacrées aux relations entre le TSA et les facteurs environnementaux chez les enfants et adolescents. Durant les années bien avant 1997, le total moyen de citations était très faible. Mais dès la fin des années 1990 et au début des années 2000, on a observé des pics marqués par un nombre important moyen total de citations. Et au cours des années suivantes, bien que le volume de publications continue d’augmenter, le nombre total moyen de citations par année tend à diminuer progressivement (</w:t>
      </w:r>
      <w:r w:rsidR="009B0629">
        <w:rPr>
          <w:rFonts w:ascii="Times New Roman" w:hAnsi="Times New Roman" w:cs="Times New Roman"/>
          <w:b/>
          <w:bCs/>
          <w:i/>
          <w:iCs/>
          <w:sz w:val="24"/>
          <w:szCs w:val="24"/>
        </w:rPr>
        <w:t xml:space="preserve">Figure </w:t>
      </w:r>
      <w:r w:rsidR="009B0629">
        <w:rPr>
          <w:rFonts w:ascii="Times New Roman" w:hAnsi="Times New Roman" w:cs="Times New Roman"/>
          <w:b/>
          <w:bCs/>
          <w:i/>
          <w:iCs/>
          <w:sz w:val="24"/>
          <w:szCs w:val="24"/>
        </w:rPr>
        <w:t>6</w:t>
      </w:r>
      <w:r>
        <w:rPr>
          <w:rFonts w:ascii="Times New Roman" w:hAnsi="Times New Roman" w:cs="Times New Roman"/>
          <w:sz w:val="24"/>
          <w:szCs w:val="24"/>
        </w:rPr>
        <w:t>).</w:t>
      </w:r>
    </w:p>
    <w:p w14:paraId="18B79004" w14:textId="77777777" w:rsidR="006B1D77" w:rsidRPr="00360574" w:rsidRDefault="006B1D77" w:rsidP="007D7B09">
      <w:pPr>
        <w:pStyle w:val="Titre3"/>
        <w:numPr>
          <w:ilvl w:val="2"/>
          <w:numId w:val="9"/>
        </w:numPr>
        <w:ind w:left="709"/>
        <w:rPr>
          <w:rFonts w:ascii="Times New Roman" w:hAnsi="Times New Roman" w:cs="Times New Roman"/>
          <w:b/>
          <w:bCs/>
          <w:color w:val="000000" w:themeColor="text1"/>
          <w:sz w:val="24"/>
          <w:szCs w:val="24"/>
        </w:rPr>
      </w:pPr>
      <w:bookmarkStart w:id="10" w:name="_Toc221394035"/>
      <w:r>
        <w:rPr>
          <w:rFonts w:ascii="Times New Roman" w:hAnsi="Times New Roman" w:cs="Times New Roman"/>
          <w:b/>
          <w:bCs/>
          <w:color w:val="000000" w:themeColor="text1"/>
          <w:sz w:val="24"/>
          <w:szCs w:val="24"/>
        </w:rPr>
        <w:t>Les articles les plus cités</w:t>
      </w:r>
      <w:bookmarkEnd w:id="10"/>
    </w:p>
    <w:p w14:paraId="551C9EE0" w14:textId="0D221160" w:rsidR="00AA478B" w:rsidRPr="00360574" w:rsidRDefault="00AA478B" w:rsidP="00262914">
      <w:pPr>
        <w:tabs>
          <w:tab w:val="center" w:pos="1302"/>
        </w:tabs>
        <w:spacing w:line="360" w:lineRule="auto"/>
        <w:ind w:firstLine="567"/>
        <w:jc w:val="both"/>
        <w:rPr>
          <w:rFonts w:ascii="Times New Roman" w:hAnsi="Times New Roman" w:cs="Times New Roman"/>
          <w:sz w:val="24"/>
          <w:szCs w:val="24"/>
        </w:rPr>
        <w:sectPr w:rsidR="00AA478B" w:rsidRPr="00360574" w:rsidSect="00A97E13">
          <w:pgSz w:w="11906" w:h="16838"/>
          <w:pgMar w:top="1417" w:right="1417" w:bottom="1417" w:left="1417" w:header="708" w:footer="708" w:gutter="0"/>
          <w:cols w:space="708"/>
          <w:docGrid w:linePitch="360"/>
        </w:sectPr>
      </w:pPr>
      <w:r>
        <w:rPr>
          <w:rFonts w:ascii="Times New Roman" w:hAnsi="Times New Roman" w:cs="Times New Roman"/>
          <w:sz w:val="24"/>
          <w:szCs w:val="24"/>
        </w:rPr>
        <w:t>Le tableau ci-après présente le détail des articles les plus cités (</w:t>
      </w:r>
      <w:r w:rsidR="00C57064">
        <w:rPr>
          <w:rFonts w:ascii="Times New Roman" w:hAnsi="Times New Roman" w:cs="Times New Roman"/>
          <w:sz w:val="24"/>
          <w:szCs w:val="24"/>
        </w:rPr>
        <w:fldChar w:fldCharType="begin"/>
      </w:r>
      <w:r w:rsidR="00C57064">
        <w:rPr>
          <w:rFonts w:ascii="Times New Roman" w:hAnsi="Times New Roman" w:cs="Times New Roman"/>
          <w:sz w:val="24"/>
          <w:szCs w:val="24"/>
        </w:rPr>
        <w:instrText xml:space="preserve"> REF _Ref231626531 \h </w:instrText>
      </w:r>
      <w:r w:rsidR="00C57064">
        <w:rPr>
          <w:rFonts w:ascii="Times New Roman" w:hAnsi="Times New Roman" w:cs="Times New Roman"/>
          <w:sz w:val="24"/>
          <w:szCs w:val="24"/>
        </w:rPr>
      </w:r>
      <w:r w:rsidR="00C57064">
        <w:rPr>
          <w:rFonts w:ascii="Times New Roman" w:hAnsi="Times New Roman" w:cs="Times New Roman"/>
          <w:sz w:val="24"/>
          <w:szCs w:val="24"/>
        </w:rPr>
        <w:fldChar w:fldCharType="separate"/>
      </w:r>
      <w:r w:rsidR="00C57064" w:rsidRPr="00E61ABB">
        <w:rPr>
          <w:rFonts w:ascii="Times New Roman" w:hAnsi="Times New Roman" w:cs="Times New Roman"/>
          <w:b/>
          <w:bCs/>
          <w:i/>
          <w:iCs/>
          <w:color w:val="000000" w:themeColor="text1"/>
          <w:sz w:val="24"/>
          <w:szCs w:val="24"/>
        </w:rPr>
        <w:t xml:space="preserve">Tableau </w:t>
      </w:r>
      <w:r w:rsidR="00C57064" w:rsidRPr="00E61ABB">
        <w:rPr>
          <w:rFonts w:ascii="Times New Roman" w:hAnsi="Times New Roman" w:cs="Times New Roman"/>
          <w:b/>
          <w:bCs/>
          <w:i/>
          <w:iCs/>
          <w:noProof/>
          <w:color w:val="000000" w:themeColor="text1"/>
          <w:sz w:val="24"/>
          <w:szCs w:val="24"/>
        </w:rPr>
        <w:t>1</w:t>
      </w:r>
      <w:r w:rsidR="00C57064">
        <w:rPr>
          <w:rFonts w:ascii="Times New Roman" w:hAnsi="Times New Roman" w:cs="Times New Roman"/>
          <w:sz w:val="24"/>
          <w:szCs w:val="24"/>
        </w:rPr>
        <w:fldChar w:fldCharType="end"/>
      </w:r>
      <w:r>
        <w:rPr>
          <w:rFonts w:ascii="Times New Roman" w:hAnsi="Times New Roman" w:cs="Times New Roman"/>
          <w:sz w:val="24"/>
          <w:szCs w:val="24"/>
        </w:rPr>
        <w:t>). En effet, les articles les plus cités, en particulier ceux de Modabbernia et al. (2017) et Rossignol et al. (2014), constituent des références majeures en raison de leur synthèse approfondie des preuves sur les facteurs environnementaux associés au TSA. Ensuite, viennent les études épidémiologiques de Windham et al. (2006) et Roberts et al. (2007) ainsi que les travaux de Raz et al. (2015) et Lam et al. (2016).</w:t>
      </w:r>
    </w:p>
    <w:p w14:paraId="121EDD4F" w14:textId="77777777" w:rsidR="00223093" w:rsidRPr="00360574" w:rsidRDefault="00D65F4C" w:rsidP="007D7B09">
      <w:pPr>
        <w:pStyle w:val="Titre2"/>
        <w:numPr>
          <w:ilvl w:val="1"/>
          <w:numId w:val="9"/>
        </w:numPr>
        <w:ind w:left="567" w:hanging="567"/>
        <w:rPr>
          <w:rFonts w:ascii="Times New Roman" w:hAnsi="Times New Roman" w:cs="Times New Roman"/>
          <w:b/>
          <w:bCs/>
          <w:color w:val="000000" w:themeColor="text1"/>
          <w:sz w:val="24"/>
          <w:szCs w:val="24"/>
        </w:rPr>
      </w:pPr>
      <w:bookmarkStart w:id="11" w:name="_Toc221394036"/>
      <w:r>
        <w:rPr>
          <w:rFonts w:ascii="Times New Roman" w:hAnsi="Times New Roman" w:cs="Times New Roman"/>
          <w:b/>
          <w:bCs/>
          <w:color w:val="000000" w:themeColor="text1"/>
          <w:sz w:val="24"/>
          <w:szCs w:val="24"/>
        </w:rPr>
        <w:lastRenderedPageBreak/>
        <w:t>Cartographie scientifique</w:t>
      </w:r>
      <w:bookmarkEnd w:id="11"/>
    </w:p>
    <w:p w14:paraId="451CD8CB" w14:textId="77777777" w:rsidR="00D65F4C" w:rsidRPr="00360574" w:rsidRDefault="00223093" w:rsidP="007D7B09">
      <w:pPr>
        <w:pStyle w:val="Titre3"/>
        <w:numPr>
          <w:ilvl w:val="2"/>
          <w:numId w:val="9"/>
        </w:numPr>
        <w:ind w:left="709"/>
        <w:rPr>
          <w:rFonts w:ascii="Times New Roman" w:hAnsi="Times New Roman" w:cs="Times New Roman"/>
          <w:b/>
          <w:bCs/>
          <w:color w:val="000000" w:themeColor="text1"/>
          <w:sz w:val="24"/>
          <w:szCs w:val="24"/>
        </w:rPr>
      </w:pPr>
      <w:bookmarkStart w:id="12" w:name="_Toc221394037"/>
      <w:r>
        <w:rPr>
          <w:rFonts w:ascii="Times New Roman" w:hAnsi="Times New Roman" w:cs="Times New Roman"/>
          <w:b/>
          <w:bCs/>
          <w:color w:val="000000" w:themeColor="text1"/>
          <w:sz w:val="24"/>
          <w:szCs w:val="24"/>
        </w:rPr>
        <w:t>Analyse de co-occurrence des mots / structure conceptuelle du domaine</w:t>
      </w:r>
      <w:bookmarkEnd w:id="12"/>
    </w:p>
    <w:p w14:paraId="7EB5CD51" w14:textId="70106FED" w:rsidR="00550CE7" w:rsidRPr="00360574" w:rsidRDefault="00223093"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L’analyse de la co-occurrence de tous les mots clés met en évidence quatre principaux groupes de thèmes </w:t>
      </w:r>
      <w:r>
        <w:rPr>
          <w:rFonts w:ascii="Times New Roman" w:hAnsi="Times New Roman" w:cs="Times New Roman"/>
          <w:b/>
          <w:bCs/>
          <w:color w:val="000000" w:themeColor="text1"/>
          <w:sz w:val="24"/>
          <w:szCs w:val="24"/>
        </w:rPr>
        <w:t>(</w:t>
      </w:r>
      <w:r w:rsidR="007A22E0">
        <w:rPr>
          <w:rFonts w:ascii="Times New Roman" w:hAnsi="Times New Roman" w:cs="Times New Roman"/>
          <w:b/>
          <w:bCs/>
          <w:i/>
          <w:iCs/>
          <w:sz w:val="24"/>
          <w:szCs w:val="24"/>
        </w:rPr>
        <w:t xml:space="preserve">Figure </w:t>
      </w:r>
      <w:r w:rsidR="007A22E0">
        <w:rPr>
          <w:rFonts w:ascii="Times New Roman" w:hAnsi="Times New Roman" w:cs="Times New Roman"/>
          <w:b/>
          <w:bCs/>
          <w:i/>
          <w:iCs/>
          <w:sz w:val="24"/>
          <w:szCs w:val="24"/>
        </w:rPr>
        <w:t>7</w:t>
      </w:r>
      <w:r>
        <w:rPr>
          <w:rFonts w:ascii="Times New Roman" w:hAnsi="Times New Roman" w:cs="Times New Roman"/>
          <w:b/>
          <w:bCs/>
          <w:color w:val="000000" w:themeColor="text1"/>
          <w:sz w:val="24"/>
          <w:szCs w:val="24"/>
        </w:rPr>
        <w:t>).</w:t>
      </w:r>
    </w:p>
    <w:p w14:paraId="1F929A02" w14:textId="77777777" w:rsidR="00550CE7" w:rsidRPr="00360574" w:rsidRDefault="00223093"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Le premier groupe reflète l’état actuel des connaissances scientifiques sur le TSA, en mettant l’accent sur l’enfance et l’adolescence comme périodes clés du diagnostic et de l’intervention. La littérature souligne une prévalence croissante du TSA, liée à l’élargissement des critères diagnostiques et à une meilleure détection précoce. Les recherches se concentrent sur les trajectoires développementales, les interventions éducatives et thérapeutiques précoces, ainsi que sur leurs effets sur le fonctionnement adaptatif. Une attention importante est également portée à l’impact psychosocial du TSA sur les familles, notamment le stress parental et la qualité de vie, confirmant le caractère multidimensionnel et familial de la prise en charge du trouble. </w:t>
      </w:r>
    </w:p>
    <w:p w14:paraId="562B02AF" w14:textId="77777777" w:rsidR="00550CE7" w:rsidRPr="00360574" w:rsidRDefault="00875C4A"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Le deuxième groupe correspond au pôle neurobiologique et mécanistique du trouble du spectre de l’autisme. Il regroupe des travaux portant sur le neurodéveloppement cérébral, les mécanismes génétiques et épigénétiques, l’expression génique, ainsi que les processus immuno-inflammatoires (activation microgliale, cytokines, inflammation). Les études mobilisent fréquemment des modèles animaux, en particulier murins, pour explorer les altérations des réseaux neuronaux, la connectivité fonctionnelle et les bases biologiques des comportements répétitifs et des déficits cognitifs. Ce cluster reflète l’approche actuelle visant à relier facteurs biologiques précoces, développement cérébral et phénotypes cliniques du TSA. Quelques mots les plus fréquents de ce cluster sont « autisme », « cerveau », « inflammation », « expression », « modèle souris »</w:t>
      </w:r>
    </w:p>
    <w:p w14:paraId="4B12EA1C" w14:textId="77777777" w:rsidR="00550CE7" w:rsidRPr="00360574" w:rsidRDefault="00875C4A"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Le troisième groupe rend compte des “facteurs de risque environnementaux” du TSA, structuré autour de l’interaction entre danger (polluants atmosphériques, particules fines, polluants organiques persistants, pesticides et produits chimiques) et exposition, en particulier l’exposition prénatale et pendant la grossesse. Il met en évidence une tendance forte de la recherche actuelle à étudier l’impact des expositions environnementales précoces sur le neurodéveloppement, soulignant le rôle critique des périodes sensibles de la grossesse dans la survenue des troubles du spectre de l’autisme.  Les thèmes prépondérants sont « association », « risque », « grossesse », « exposition prénatale », « pollution de l’air »</w:t>
      </w:r>
    </w:p>
    <w:p w14:paraId="23BEA63C" w14:textId="04C4B2D1" w:rsidR="00FB231D" w:rsidRPr="007A22E0" w:rsidRDefault="00875C4A" w:rsidP="007A22E0">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lastRenderedPageBreak/>
        <w:t>Ce groupe décrit un axe environnemental et toxicologique de la recherche sur le TSA, centré sur l’exposition aux métaux lourds et aux oligo-éléments (mercure, plomb, cuivre, zinc, sélénium). Il regroupe des études évaluant ces expositions via des biomarqueurs biologiques (cheveux, sang, plasma) ou des sources environnementales comme l’eau de boisson. Les travaux s’intéressent aux mécanismes de neurotoxicité, notamment le stress oxydatif, susceptibles d’altérer le neurodéveloppement et de contribuer au risque ou à la sévérité des troubles du spectre de l’autisme. Quelques mots fortement employés sont « stress oxydatif », « plomb », « cuivre », « zinc », « biomarqueurs », « tsa »</w:t>
      </w:r>
      <w:r w:rsidR="00FB231D">
        <w:rPr>
          <w:rFonts w:ascii="Times New Roman" w:hAnsi="Times New Roman" w:cs="Times New Roman"/>
          <w:sz w:val="24"/>
          <w:szCs w:val="24"/>
        </w:rPr>
        <w:br w:type="page"/>
      </w:r>
    </w:p>
    <w:p w14:paraId="63FC057D" w14:textId="77777777" w:rsidR="00FB231D" w:rsidRPr="00360574" w:rsidRDefault="00FB231D" w:rsidP="007D7B09">
      <w:pPr>
        <w:pStyle w:val="Titre1"/>
        <w:numPr>
          <w:ilvl w:val="0"/>
          <w:numId w:val="9"/>
        </w:numPr>
        <w:ind w:left="426" w:hanging="426"/>
        <w:rPr>
          <w:rFonts w:ascii="Times New Roman" w:hAnsi="Times New Roman" w:cs="Times New Roman"/>
          <w:b/>
          <w:bCs/>
          <w:color w:val="000000" w:themeColor="text1"/>
          <w:sz w:val="24"/>
          <w:szCs w:val="24"/>
        </w:rPr>
        <w:sectPr w:rsidR="00FB231D" w:rsidRPr="00360574" w:rsidSect="00A97E13">
          <w:pgSz w:w="11906" w:h="16838"/>
          <w:pgMar w:top="1417" w:right="1417" w:bottom="1417" w:left="1417" w:header="708" w:footer="708" w:gutter="0"/>
          <w:cols w:space="708"/>
          <w:docGrid w:linePitch="360"/>
        </w:sectPr>
      </w:pPr>
    </w:p>
    <w:p w14:paraId="566B875E" w14:textId="77777777" w:rsidR="00D65F4C" w:rsidRPr="00360574" w:rsidRDefault="00D65F4C" w:rsidP="007D7B09">
      <w:pPr>
        <w:pStyle w:val="Titre1"/>
        <w:numPr>
          <w:ilvl w:val="0"/>
          <w:numId w:val="9"/>
        </w:numPr>
        <w:ind w:left="426" w:hanging="426"/>
        <w:rPr>
          <w:rFonts w:ascii="Times New Roman" w:hAnsi="Times New Roman" w:cs="Times New Roman"/>
          <w:sz w:val="24"/>
          <w:szCs w:val="24"/>
        </w:rPr>
      </w:pPr>
      <w:bookmarkStart w:id="13" w:name="_Toc221394038"/>
      <w:r>
        <w:rPr>
          <w:rFonts w:ascii="Times New Roman" w:hAnsi="Times New Roman" w:cs="Times New Roman"/>
          <w:b/>
          <w:bCs/>
          <w:color w:val="000000" w:themeColor="text1"/>
          <w:sz w:val="24"/>
          <w:szCs w:val="24"/>
        </w:rPr>
        <w:lastRenderedPageBreak/>
        <w:t>Discussion</w:t>
      </w:r>
      <w:bookmarkEnd w:id="13"/>
      <w:r>
        <w:rPr>
          <w:rFonts w:ascii="Times New Roman" w:hAnsi="Times New Roman" w:cs="Times New Roman"/>
          <w:sz w:val="24"/>
          <w:szCs w:val="24"/>
        </w:rPr>
        <w:t xml:space="preserve">  </w:t>
      </w:r>
    </w:p>
    <w:p w14:paraId="7634FDC2" w14:textId="77777777" w:rsidR="00D65F4C" w:rsidRPr="00360574" w:rsidRDefault="00D65F4C"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La présente étude avait pour objectif d’évaluer la performance des différents acteurs de la recherche travaillant sur le TSA et les polluants atmosphériques, ainsi que de cartographier la production scientifique relative à cette thématique. À l’issue d’une recherche documentaire menée dans la base de données Web of Science Core Collection, un total de 1 574 documents scientifiques a été identifié. L’analyse des mots-clés a mis en évidence quatre grands thèmes, dont trois axes majeurs émergents : les mécanismes neurobiologiques du TSA, l’exposition prénatale, et les facteurs de risque environnementaux, en particulier les polluants atmosphériques et les oligo-éléments.</w:t>
      </w:r>
    </w:p>
    <w:p w14:paraId="69F7E8CB" w14:textId="77777777" w:rsidR="00D65F4C" w:rsidRPr="00360574" w:rsidRDefault="00D65F4C"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Au regard de l’objectif général de l’étude, le recours à une analyse bibliométrique descriptive puis analytique s’est avéré approprié. Le corpus issu de la recherche documentaire était composé exclusivement d’articles originaux et d’articles de synthèse portant sur le TSA et les polluants environnementaux, publiés depuis la création de la base Web of Science. L’équation de recherche utilisée s’est inspirée de celle employée dans une précédente revue systématique évaluant l’effet des polluants environnementaux sur le TSA. Compte tenu de la base de données utilisée, la recherche documentaire présente un haut niveau de fiabilité et de reproductibilité.</w:t>
      </w:r>
    </w:p>
    <w:p w14:paraId="66AAB48C" w14:textId="77777777" w:rsidR="00D65F4C" w:rsidRPr="00360574" w:rsidRDefault="00D65F4C"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À notre connaissance, la présente étude constitue la première tentative de description bibliométrique mondiale de la littérature scientifique portant sur le TSA et les polluants environnementaux chez les enfants. Au total, 1 574 articles ont été inclus dans l’analyse finale. Le nombre annuel de publications a augmenté de manière relativement progressive entre 1992 et 2022, avant de connaître une baisse en 2023, suivie d’une reprise entre 2024 et 2025. La dernière décennie (2016–2025) correspond à la période durant laquelle le plus grand nombre d’articles a été publié, suggérant un intérêt scientifique croissant et soutenu pour l’étude éco-épidémiologique du TSA chez l’enfant [16,17,18]. La diminution temporaire observée entre 2022 et 2023 pourrait s’expliquer par les perturbations des activités de recherche liées à la pandémie de COVID-19.</w:t>
      </w:r>
    </w:p>
    <w:p w14:paraId="3DDD41EA" w14:textId="77777777" w:rsidR="00D65F4C" w:rsidRPr="00360574" w:rsidRDefault="00D65F4C"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Les États-Unis, la Chine et le Canada se distinguent comme les pays les plus productifs sur cette thématique. Ces résultats concordent avec ceux d’autres analyses bibliométriques consacrées au TSA, qui mettent également en évidence l’hégémonie des États-Unis dans ce domaine de recherche [16,18,19]. L’évolution des politiques publiques, de la législation en matière de protection sociale et des droits des enfants autistes dans ces pays pourrait en partie </w:t>
      </w:r>
      <w:r>
        <w:rPr>
          <w:rFonts w:ascii="Times New Roman" w:hAnsi="Times New Roman" w:cs="Times New Roman"/>
          <w:sz w:val="24"/>
          <w:szCs w:val="24"/>
        </w:rPr>
        <w:lastRenderedPageBreak/>
        <w:t>expliquer cet intérêt marqué pour l’étude de l’étiologie du TSA. À titre d’exemple, en 2006, l’administration Bush a promulgué le Combating Autism Act, première loi fédérale américaine dédiée au TSA, accompagnée d’un financement de 945 millions de dollars sur cinq ans pour la recherche, le traitement et l’éducation. Par ailleurs, entre 2007 et 2010, plusieurs États américains ont adopté des lois obligeant les compagnies d’assurance à couvrir les interventions et traitements liés au TSA. Sur le plan de la productivité scientifique individuelle, l’auteure Herz-Picciotto apparaît comme la chercheuse la plus prolifique dans ce champ de recherche.</w:t>
      </w:r>
    </w:p>
    <w:p w14:paraId="6C368CCA" w14:textId="77777777" w:rsidR="00D65F4C" w:rsidRPr="00360574" w:rsidRDefault="00D65F4C" w:rsidP="0000515C">
      <w:pPr>
        <w:tabs>
          <w:tab w:val="center" w:pos="1302"/>
        </w:tabs>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Concernant les tendances de recherche, l’analyse des mots-clés révèle un intérêt croissant pour l’étude du TSA à travers l’exposition environnementale des mères d’enfants autistes, en particulier aux polluants atmosphériques [20,21,22]. Les polluants les plus fréquemment rapportés sont les métaux lourds et les oligo-éléments inorganiques, tels que le mercure, le plomb, le cuivre, le zinc et le sélénium. Cette tendance est corroborée par plusieurs études de synthèse, qui mettent en évidence des associations significatives entre le TSA et certains métaux lourds, notamment le mercure et le plomb, figurant parmi les substances les plus citées dans la littérature [23,24,25].</w:t>
      </w:r>
    </w:p>
    <w:p w14:paraId="03C418F9" w14:textId="77777777" w:rsidR="00FF1489" w:rsidRPr="00360574" w:rsidRDefault="00D65F4C" w:rsidP="0000515C">
      <w:pPr>
        <w:tabs>
          <w:tab w:val="center" w:pos="1302"/>
        </w:tabs>
        <w:spacing w:line="360" w:lineRule="auto"/>
        <w:ind w:firstLine="567"/>
        <w:jc w:val="both"/>
        <w:rPr>
          <w:rFonts w:ascii="Times New Roman" w:hAnsi="Times New Roman" w:cs="Times New Roman"/>
          <w:sz w:val="24"/>
          <w:szCs w:val="24"/>
        </w:rPr>
        <w:sectPr w:rsidR="00FF1489" w:rsidRPr="00360574" w:rsidSect="00A97E13">
          <w:pgSz w:w="11906" w:h="16838"/>
          <w:pgMar w:top="1417" w:right="1417" w:bottom="1417" w:left="1417" w:header="708" w:footer="708" w:gutter="0"/>
          <w:cols w:space="708"/>
          <w:docGrid w:linePitch="360"/>
        </w:sectPr>
      </w:pPr>
      <w:r>
        <w:rPr>
          <w:rFonts w:ascii="Times New Roman" w:hAnsi="Times New Roman" w:cs="Times New Roman"/>
          <w:sz w:val="24"/>
          <w:szCs w:val="24"/>
        </w:rPr>
        <w:t>Comme toute étude, la nôtre présente certaines limites. D’une part, les articles inclus n’ont pas été analysés individuellement afin d’évaluer leur pertinence spécifique par rapport à la question de recherche. D’autre part, la recherche documentaire ne s’est pas étendue à d’autres bases de données majeures telles que MEDLINE, EMBASE, PsycINFO, CINAHL, Cochrane Central, LILACS ou SciELO, dont l’inclusion aurait permis d’élargir la couverture et la diversité des publications analysées.</w:t>
      </w:r>
    </w:p>
    <w:p w14:paraId="14FEB80A" w14:textId="77777777" w:rsidR="00D65F4C" w:rsidRPr="00360574" w:rsidRDefault="00FF1489" w:rsidP="0071564C">
      <w:pPr>
        <w:pStyle w:val="Titre1"/>
        <w:spacing w:before="0"/>
        <w:rPr>
          <w:rFonts w:ascii="Times New Roman" w:hAnsi="Times New Roman" w:cs="Times New Roman"/>
          <w:b/>
          <w:bCs/>
          <w:color w:val="000000" w:themeColor="text1"/>
          <w:sz w:val="24"/>
          <w:szCs w:val="24"/>
        </w:rPr>
      </w:pPr>
      <w:bookmarkStart w:id="14" w:name="_Toc221394039"/>
      <w:r>
        <w:rPr>
          <w:rFonts w:ascii="Times New Roman" w:hAnsi="Times New Roman" w:cs="Times New Roman"/>
          <w:b/>
          <w:bCs/>
          <w:color w:val="000000" w:themeColor="text1"/>
          <w:sz w:val="24"/>
          <w:szCs w:val="24"/>
        </w:rPr>
        <w:lastRenderedPageBreak/>
        <w:t>Conclusion</w:t>
      </w:r>
      <w:bookmarkEnd w:id="14"/>
    </w:p>
    <w:p w14:paraId="0AE71839" w14:textId="77777777" w:rsidR="00716EF4" w:rsidRDefault="00E11AF7" w:rsidP="00716EF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Cette analyse bibliométrique a mis en évidence une augmentation progressive et soutenue de la production scientifique consacrée aux liens entre les facteurs environnementaux et le TSA chez l’enfant. Cette dynamique de recherche s’est particulièrement renforcée au cours des deux dernières décennies et est principalement portée par les pays à hauts revenus, avec une contribution majeure des États-Unis, tant en termes de volume de publications que d’influence scientifique.</w:t>
      </w:r>
    </w:p>
    <w:p w14:paraId="5E990C36" w14:textId="77777777" w:rsidR="00716EF4" w:rsidRDefault="00E11AF7" w:rsidP="00716EF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L’analyse des publications et des citations souligne le rôle structurant de plusieurs études de référence, notamment des revues systématiques et des travaux épidémiologiques, qui ont contribué à orienter durablement le champ de recherche. La cartographie scientifique a permis de mettre en évidence une organisation de la littérature autour de plusieurs axes complémentaires, combinant des approches neurobiologiques et mécanistiques avec l’étude des expositions environnementales prénatales et précoces. Parmi celles-ci, la pollution atmosphérique et les métaux lourds occupent une place centrale.</w:t>
      </w:r>
    </w:p>
    <w:p w14:paraId="307654BA" w14:textId="77777777" w:rsidR="00E11AF7" w:rsidRPr="00E11AF7" w:rsidRDefault="00E11AF7" w:rsidP="00716EF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Dans l’ensemble, ce travail offre une vision globale et structurée de la littérature existante sur les déterminants environnementaux du TSA chez l’enfant. Il montre l’importance des périodes critiques du neurodéveloppement et souligne la nécessité de poursuivre les efforts de recherche à travers des approches intégrées, afin d’améliorer la compréhension des mécanismes impliqués et d’éclairer les perspectives de prévention et de recherche.</w:t>
      </w:r>
    </w:p>
    <w:p w14:paraId="469D26A2" w14:textId="77777777" w:rsidR="00D65F4C" w:rsidRPr="00360574" w:rsidRDefault="00D65F4C" w:rsidP="00D65F4C">
      <w:pPr>
        <w:spacing w:line="360" w:lineRule="auto"/>
        <w:jc w:val="both"/>
        <w:rPr>
          <w:rFonts w:ascii="Times New Roman" w:hAnsi="Times New Roman" w:cs="Times New Roman"/>
          <w:sz w:val="24"/>
          <w:szCs w:val="24"/>
        </w:rPr>
        <w:sectPr w:rsidR="00D65F4C" w:rsidRPr="00360574" w:rsidSect="00A97E13">
          <w:pgSz w:w="11906" w:h="16838"/>
          <w:pgMar w:top="1417" w:right="1417" w:bottom="1417" w:left="1417" w:header="708" w:footer="708" w:gutter="0"/>
          <w:cols w:space="708"/>
          <w:docGrid w:linePitch="360"/>
        </w:sectPr>
      </w:pPr>
    </w:p>
    <w:p w14:paraId="15DFDE22" w14:textId="77777777" w:rsidR="004723FC" w:rsidRPr="00360574" w:rsidRDefault="009B240A" w:rsidP="0071564C">
      <w:pPr>
        <w:pStyle w:val="Titre1"/>
        <w:spacing w:before="0"/>
        <w:rPr>
          <w:rFonts w:ascii="Times New Roman" w:hAnsi="Times New Roman" w:cs="Times New Roman"/>
          <w:b/>
          <w:bCs/>
          <w:color w:val="000000" w:themeColor="text1"/>
          <w:sz w:val="24"/>
          <w:szCs w:val="24"/>
        </w:rPr>
      </w:pPr>
      <w:bookmarkStart w:id="15" w:name="_Toc221394040"/>
      <w:r>
        <w:rPr>
          <w:rFonts w:ascii="Times New Roman" w:hAnsi="Times New Roman" w:cs="Times New Roman"/>
          <w:b/>
          <w:bCs/>
          <w:color w:val="000000" w:themeColor="text1"/>
          <w:sz w:val="24"/>
          <w:szCs w:val="24"/>
        </w:rPr>
        <w:lastRenderedPageBreak/>
        <w:t>Références</w:t>
      </w:r>
      <w:bookmarkEnd w:id="15"/>
    </w:p>
    <w:p w14:paraId="48598A8E" w14:textId="77777777" w:rsidR="00466CC6" w:rsidRPr="00775CBC" w:rsidRDefault="009B240A"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ZOTERO_BIBL {"uncited":[],"omitted":[],"custom":[]} CSL_BIBLIOGRAPHY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1. </w:t>
      </w:r>
      <w:r>
        <w:rPr>
          <w:rFonts w:ascii="Times New Roman" w:hAnsi="Times New Roman" w:cs="Times New Roman"/>
          <w:sz w:val="24"/>
          <w:szCs w:val="24"/>
        </w:rPr>
        <w:tab/>
        <w:t xml:space="preserve">Sharma SR, Gonda X, Tarazi FI. </w:t>
      </w:r>
      <w:r>
        <w:rPr>
          <w:rFonts w:ascii="Times New Roman" w:hAnsi="Times New Roman" w:cs="Times New Roman"/>
          <w:sz w:val="24"/>
          <w:szCs w:val="24"/>
          <w:lang w:val="en-US"/>
        </w:rPr>
        <w:t xml:space="preserve">Autism Spectrum Disorder: Classification, diagnosis and therapy. Pharmacol Ther. oct 2018;190:91‑104. </w:t>
      </w:r>
    </w:p>
    <w:p w14:paraId="2E253903"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Pr>
          <w:rFonts w:ascii="Times New Roman" w:hAnsi="Times New Roman" w:cs="Times New Roman"/>
          <w:sz w:val="24"/>
          <w:szCs w:val="24"/>
          <w:lang w:val="en-US"/>
        </w:rPr>
        <w:tab/>
        <w:t xml:space="preserve">Genovese A, Butler MG. Clinical Assessment, Genetics, and Treatment Approaches in Autism Spectrum Disorder (ASD). Int J Mol Sci. 2 juill 2020;21(13):4726. </w:t>
      </w:r>
    </w:p>
    <w:p w14:paraId="6508F03E"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Pr>
          <w:rFonts w:ascii="Times New Roman" w:hAnsi="Times New Roman" w:cs="Times New Roman"/>
          <w:sz w:val="24"/>
          <w:szCs w:val="24"/>
          <w:lang w:val="en-US"/>
        </w:rPr>
        <w:tab/>
        <w:t xml:space="preserve">Ecker C, Bookheimer SY, Murphy DGM. Neuroimaging in autism spectrum disorder: brain structure and function across the lifespan. Lancet Neurol. nov 2015;14(11):1121‑34. </w:t>
      </w:r>
    </w:p>
    <w:p w14:paraId="22F577A8"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Pr>
          <w:rFonts w:ascii="Times New Roman" w:hAnsi="Times New Roman" w:cs="Times New Roman"/>
          <w:sz w:val="24"/>
          <w:szCs w:val="24"/>
          <w:lang w:val="en-US"/>
        </w:rPr>
        <w:tab/>
        <w:t xml:space="preserve">Lyall K, Croen L, Daniels J, Fallin MD, Ladd-Acosta C, Lee BK, et al. The Changing Epidemiology of Autism Spectrum Disorders. Annu Rev Public Health. 20 mars 2017;38:81‑102. </w:t>
      </w:r>
    </w:p>
    <w:p w14:paraId="3DFC288C"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Pr>
          <w:rFonts w:ascii="Times New Roman" w:hAnsi="Times New Roman" w:cs="Times New Roman"/>
          <w:sz w:val="24"/>
          <w:szCs w:val="24"/>
          <w:lang w:val="en-US"/>
        </w:rPr>
        <w:tab/>
        <w:t xml:space="preserve">Zhu H, Ye W, Zhou F, Shi L, Zhou Y, Liu P. Global, Regional, and National Burden of Autism Spectrum Disorder: Trends and Decomposition Analysis From 1990 to 2021, and Projections for 2045. Actas Esp Psiquiatr. 17 déc 2025;53(6):1162‑75. </w:t>
      </w:r>
    </w:p>
    <w:p w14:paraId="0DAC4566" w14:textId="77777777" w:rsidR="00466CC6" w:rsidRPr="00360574" w:rsidRDefault="00466CC6" w:rsidP="00466CC6">
      <w:pPr>
        <w:pStyle w:val="Bibliographie"/>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6. </w:t>
      </w:r>
      <w:r>
        <w:rPr>
          <w:rFonts w:ascii="Times New Roman" w:hAnsi="Times New Roman" w:cs="Times New Roman"/>
          <w:sz w:val="24"/>
          <w:szCs w:val="24"/>
          <w:lang w:val="en-US"/>
        </w:rPr>
        <w:tab/>
        <w:t xml:space="preserve">Global Burden of Disease Study 2021 Autism Spectrum Collaborators. The global epidemiology and health burden of the autism spectrum: findings from the Global Burden of Disease Study 2021. </w:t>
      </w:r>
      <w:r>
        <w:rPr>
          <w:rFonts w:ascii="Times New Roman" w:hAnsi="Times New Roman" w:cs="Times New Roman"/>
          <w:sz w:val="24"/>
          <w:szCs w:val="24"/>
        </w:rPr>
        <w:t xml:space="preserve">Lancet Psychiatry. févr 2025;12(2):111‑21. </w:t>
      </w:r>
    </w:p>
    <w:p w14:paraId="24EF18EC"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7. </w:t>
      </w:r>
      <w:r>
        <w:rPr>
          <w:rFonts w:ascii="Times New Roman" w:hAnsi="Times New Roman" w:cs="Times New Roman"/>
          <w:sz w:val="24"/>
          <w:szCs w:val="24"/>
        </w:rPr>
        <w:tab/>
        <w:t xml:space="preserve">Lai MC, Lombardo MV, Baron-Cohen S. Autism. </w:t>
      </w:r>
      <w:r>
        <w:rPr>
          <w:rFonts w:ascii="Times New Roman" w:hAnsi="Times New Roman" w:cs="Times New Roman"/>
          <w:sz w:val="24"/>
          <w:szCs w:val="24"/>
          <w:lang w:val="en-US"/>
        </w:rPr>
        <w:t xml:space="preserve">The Lancet. 8 mars 2014;383(9920):896‑910. </w:t>
      </w:r>
    </w:p>
    <w:p w14:paraId="039BD86D"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8. </w:t>
      </w:r>
      <w:r>
        <w:rPr>
          <w:rFonts w:ascii="Times New Roman" w:hAnsi="Times New Roman" w:cs="Times New Roman"/>
          <w:sz w:val="24"/>
          <w:szCs w:val="24"/>
          <w:lang w:val="en-US"/>
        </w:rPr>
        <w:tab/>
        <w:t xml:space="preserve">Simonoff E, Pickles A, Charman T, Chandler S, Loucas T, Baird G. Psychiatric disorders in children with autism spectrum disorders: prevalence, comorbidity, and associated factors in a population-derived sample. J Am Acad Child Adolesc Psychiatry. août 2008;47(8):921‑9. </w:t>
      </w:r>
    </w:p>
    <w:p w14:paraId="0CCA740A" w14:textId="77777777" w:rsidR="00466CC6" w:rsidRPr="00360574" w:rsidRDefault="00466CC6" w:rsidP="00466CC6">
      <w:pPr>
        <w:pStyle w:val="Bibliographie"/>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9. </w:t>
      </w:r>
      <w:r>
        <w:rPr>
          <w:rFonts w:ascii="Times New Roman" w:hAnsi="Times New Roman" w:cs="Times New Roman"/>
          <w:sz w:val="24"/>
          <w:szCs w:val="24"/>
          <w:lang w:val="en-US"/>
        </w:rPr>
        <w:tab/>
        <w:t xml:space="preserve">Modabbernia A, Velthorst E, Reichenberg A. Environmental risk factors for autism: an evidence-based review of systematic reviews and meta-analyses. </w:t>
      </w:r>
      <w:r>
        <w:rPr>
          <w:rFonts w:ascii="Times New Roman" w:hAnsi="Times New Roman" w:cs="Times New Roman"/>
          <w:sz w:val="24"/>
          <w:szCs w:val="24"/>
        </w:rPr>
        <w:t xml:space="preserve">Mol Autism. 17 mars 2017;8(1):13. </w:t>
      </w:r>
    </w:p>
    <w:p w14:paraId="4DD25E14"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10. </w:t>
      </w:r>
      <w:r>
        <w:rPr>
          <w:rFonts w:ascii="Times New Roman" w:hAnsi="Times New Roman" w:cs="Times New Roman"/>
          <w:sz w:val="24"/>
          <w:szCs w:val="24"/>
        </w:rPr>
        <w:tab/>
        <w:t xml:space="preserve">Yang B, Zaks N, Kajantie E, Persson MSM, Reichenberg A, Gissler M, et al. </w:t>
      </w:r>
      <w:r>
        <w:rPr>
          <w:rFonts w:ascii="Times New Roman" w:hAnsi="Times New Roman" w:cs="Times New Roman"/>
          <w:sz w:val="24"/>
          <w:szCs w:val="24"/>
          <w:lang w:val="en-US"/>
        </w:rPr>
        <w:t xml:space="preserve">Risk Factors for Autism Spectrum Disorder in Individuals Born Preterm: A Systematic Review and Meta-Analysis of Population-Based Studies. Biol Psychiatry Glob Open Sci. sept 2025;5(5):100535. </w:t>
      </w:r>
    </w:p>
    <w:p w14:paraId="1A6FF2D2"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11. </w:t>
      </w:r>
      <w:r>
        <w:rPr>
          <w:rFonts w:ascii="Times New Roman" w:hAnsi="Times New Roman" w:cs="Times New Roman"/>
          <w:sz w:val="24"/>
          <w:szCs w:val="24"/>
          <w:lang w:val="en-US"/>
        </w:rPr>
        <w:tab/>
        <w:t xml:space="preserve">Hyman SL, Levy SE, Myers SM, COUNCIL ON CHILDREN WITH DISABILITIES, SECTION ON DEVELOPMENTAL AND BEHAVIORAL PEDIATRICS. Identification, Evaluation, and Management of Children With Autism Spectrum Disorder. Pediatrics. janv 2020;145(1):e20193447. </w:t>
      </w:r>
    </w:p>
    <w:p w14:paraId="53C315B0"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12. </w:t>
      </w:r>
      <w:r>
        <w:rPr>
          <w:rFonts w:ascii="Times New Roman" w:hAnsi="Times New Roman" w:cs="Times New Roman"/>
          <w:sz w:val="24"/>
          <w:szCs w:val="24"/>
          <w:lang w:val="en-US"/>
        </w:rPr>
        <w:tab/>
        <w:t xml:space="preserve">Luo X, Duan H, He L. A Novel Riccati Equation Grey Model And Its Application In Forecasting Clean Energy. Energy. 15 août 2020;205:118085. </w:t>
      </w:r>
    </w:p>
    <w:p w14:paraId="7E23F200" w14:textId="77777777" w:rsidR="00466CC6" w:rsidRPr="00360574" w:rsidRDefault="00466CC6" w:rsidP="00466CC6">
      <w:pPr>
        <w:pStyle w:val="Bibliographie"/>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13. </w:t>
      </w:r>
      <w:r>
        <w:rPr>
          <w:rFonts w:ascii="Times New Roman" w:hAnsi="Times New Roman" w:cs="Times New Roman"/>
          <w:sz w:val="24"/>
          <w:szCs w:val="24"/>
          <w:lang w:val="en-US"/>
        </w:rPr>
        <w:tab/>
        <w:t xml:space="preserve">Yan J, Li Y, Zhou P. Impact of COVID-19 pandemic on the epidemiology of STDs in China: based on the GM (1,1) model. </w:t>
      </w:r>
      <w:r>
        <w:rPr>
          <w:rFonts w:ascii="Times New Roman" w:hAnsi="Times New Roman" w:cs="Times New Roman"/>
          <w:sz w:val="24"/>
          <w:szCs w:val="24"/>
        </w:rPr>
        <w:t xml:space="preserve">BMC Infect Dis. 4 juin 2022;22(1):519. </w:t>
      </w:r>
    </w:p>
    <w:p w14:paraId="4407EDE0" w14:textId="77777777" w:rsidR="00466CC6" w:rsidRPr="00775CBC"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14. </w:t>
      </w:r>
      <w:r>
        <w:rPr>
          <w:rFonts w:ascii="Times New Roman" w:hAnsi="Times New Roman" w:cs="Times New Roman"/>
          <w:sz w:val="24"/>
          <w:szCs w:val="24"/>
        </w:rPr>
        <w:tab/>
        <w:t xml:space="preserve">Duque-Cartagena T, Dalla MDB, Mundstock E, Neto FK, Espinoza SAR, de Moura SK, et al. </w:t>
      </w:r>
      <w:r>
        <w:rPr>
          <w:rFonts w:ascii="Times New Roman" w:hAnsi="Times New Roman" w:cs="Times New Roman"/>
          <w:sz w:val="24"/>
          <w:szCs w:val="24"/>
          <w:lang w:val="en-US"/>
        </w:rPr>
        <w:t xml:space="preserve">Environmental pollutants as risk factors for autism spectrum disorders: a systematic review and meta-analysis of cohort studies. BMC Public Health. 3 sept 2024;24(1):2388. </w:t>
      </w:r>
    </w:p>
    <w:p w14:paraId="7F3D7839" w14:textId="77777777" w:rsidR="00466CC6" w:rsidRPr="00360574" w:rsidRDefault="00466CC6" w:rsidP="00466CC6">
      <w:pPr>
        <w:pStyle w:val="Bibliographie"/>
        <w:spacing w:after="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15. </w:t>
      </w:r>
      <w:r>
        <w:rPr>
          <w:rFonts w:ascii="Times New Roman" w:hAnsi="Times New Roman" w:cs="Times New Roman"/>
          <w:sz w:val="24"/>
          <w:szCs w:val="24"/>
          <w:lang w:val="en-US"/>
        </w:rPr>
        <w:tab/>
        <w:t xml:space="preserve">US EPA O. Risk Assessment [Internet]. </w:t>
      </w:r>
      <w:r>
        <w:rPr>
          <w:rFonts w:ascii="Times New Roman" w:hAnsi="Times New Roman" w:cs="Times New Roman"/>
          <w:sz w:val="24"/>
          <w:szCs w:val="24"/>
        </w:rPr>
        <w:t>2013 [cité 6 févr 2026]. Disponible sur: https://www.epa.gov/risk</w:t>
      </w:r>
    </w:p>
    <w:p w14:paraId="743A1857"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16. </w:t>
      </w:r>
      <w:r>
        <w:rPr>
          <w:rFonts w:ascii="Times New Roman" w:hAnsi="Times New Roman" w:cs="Times New Roman"/>
          <w:sz w:val="24"/>
          <w:szCs w:val="24"/>
        </w:rPr>
        <w:tab/>
        <w:t xml:space="preserve">Zhao J, Lu Y, Wu X, Zhou F, Fei F, Wu X, et al. </w:t>
      </w:r>
      <w:r>
        <w:rPr>
          <w:rFonts w:ascii="Times New Roman" w:hAnsi="Times New Roman" w:cs="Times New Roman"/>
          <w:sz w:val="24"/>
          <w:szCs w:val="24"/>
          <w:lang w:val="en-US"/>
        </w:rPr>
        <w:t xml:space="preserve">Bibliometric analysis of research themes and trends in childhood autism spectrum disorders from 2012 to 2021. Front Public Health. 31 août 2022;10:925475. </w:t>
      </w:r>
    </w:p>
    <w:p w14:paraId="73C4C8B3"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17. </w:t>
      </w:r>
      <w:r>
        <w:rPr>
          <w:rFonts w:ascii="Times New Roman" w:hAnsi="Times New Roman" w:cs="Times New Roman"/>
          <w:sz w:val="24"/>
          <w:szCs w:val="24"/>
        </w:rPr>
        <w:tab/>
        <w:t xml:space="preserve">Lyu K, Li J, Chen M, Li W, Zhang W, Hu M, et al. </w:t>
      </w:r>
      <w:r>
        <w:rPr>
          <w:rFonts w:ascii="Times New Roman" w:hAnsi="Times New Roman" w:cs="Times New Roman"/>
          <w:sz w:val="24"/>
          <w:szCs w:val="24"/>
          <w:lang w:val="en-US"/>
        </w:rPr>
        <w:t xml:space="preserve">A bibliometric analysis of autism spectrum disorder signaling pathways research in the past decade. Front Psychiatry. 12 févr 2024;15:1304916. </w:t>
      </w:r>
    </w:p>
    <w:p w14:paraId="5F54680C"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18. </w:t>
      </w:r>
      <w:r>
        <w:rPr>
          <w:rFonts w:ascii="Times New Roman" w:hAnsi="Times New Roman" w:cs="Times New Roman"/>
          <w:sz w:val="24"/>
          <w:szCs w:val="24"/>
        </w:rPr>
        <w:tab/>
        <w:t xml:space="preserve">Chen Y, Du X, Zhang X, Li F, Yuan S, Wang W, et al. </w:t>
      </w:r>
      <w:r>
        <w:rPr>
          <w:rFonts w:ascii="Times New Roman" w:hAnsi="Times New Roman" w:cs="Times New Roman"/>
          <w:sz w:val="24"/>
          <w:szCs w:val="24"/>
          <w:lang w:val="en-US"/>
        </w:rPr>
        <w:t xml:space="preserve">Research trends of inflammation in autism spectrum disorders: a bibliometric analysis. Front Immunol. 14 févr 2025;16:1534660. </w:t>
      </w:r>
    </w:p>
    <w:p w14:paraId="4428794A"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19. </w:t>
      </w:r>
      <w:r>
        <w:rPr>
          <w:rFonts w:ascii="Times New Roman" w:hAnsi="Times New Roman" w:cs="Times New Roman"/>
          <w:sz w:val="24"/>
          <w:szCs w:val="24"/>
        </w:rPr>
        <w:tab/>
        <w:t xml:space="preserve">Lan K, Jia X, Gao S, Feng Z, Jia M, Yue W, et al. </w:t>
      </w:r>
      <w:r>
        <w:rPr>
          <w:rFonts w:ascii="Times New Roman" w:hAnsi="Times New Roman" w:cs="Times New Roman"/>
          <w:sz w:val="24"/>
          <w:szCs w:val="24"/>
          <w:lang w:val="en-US"/>
        </w:rPr>
        <w:t xml:space="preserve">Research Trends and Hotspots on Family Caregivers of Individuals With Autism Spectrum Disorder From 2002 to 2022: A Bibliometric Analysis. J Child Adolesc Psychiatr Nurs. févr 2025;38(1):e70008. </w:t>
      </w:r>
    </w:p>
    <w:p w14:paraId="5FC1D90F"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20. </w:t>
      </w:r>
      <w:r>
        <w:rPr>
          <w:rFonts w:ascii="Times New Roman" w:hAnsi="Times New Roman" w:cs="Times New Roman"/>
          <w:sz w:val="24"/>
          <w:szCs w:val="24"/>
        </w:rPr>
        <w:tab/>
        <w:t xml:space="preserve">Amnuaylojaroen T, Parasin N, Saokaew S. </w:t>
      </w:r>
      <w:r>
        <w:rPr>
          <w:rFonts w:ascii="Times New Roman" w:hAnsi="Times New Roman" w:cs="Times New Roman"/>
          <w:sz w:val="24"/>
          <w:szCs w:val="24"/>
          <w:lang w:val="en-US"/>
        </w:rPr>
        <w:t xml:space="preserve">Exploring the association between early-life air pollution exposure and autism spectrum disorders in children: A systematic review and meta-analysis. Reprod Toxicol. avr 2024;125:108582. </w:t>
      </w:r>
    </w:p>
    <w:p w14:paraId="2AB0F1BD"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21. </w:t>
      </w:r>
      <w:r>
        <w:rPr>
          <w:rFonts w:ascii="Times New Roman" w:hAnsi="Times New Roman" w:cs="Times New Roman"/>
          <w:sz w:val="24"/>
          <w:szCs w:val="24"/>
        </w:rPr>
        <w:tab/>
        <w:t xml:space="preserve">Liu H, Ding L, Qu G, Guo X, Liang M, Ma S, et al. </w:t>
      </w:r>
      <w:r>
        <w:rPr>
          <w:rFonts w:ascii="Times New Roman" w:hAnsi="Times New Roman" w:cs="Times New Roman"/>
          <w:sz w:val="24"/>
          <w:szCs w:val="24"/>
          <w:lang w:val="en-US"/>
        </w:rPr>
        <w:t xml:space="preserve">Particulate matter exposure during pregnancy and infancy and risks of autism spectrum disorder in children: A systematic review and meta-analysis. Sci Total Environ. 10 janv 2023;855:158830. </w:t>
      </w:r>
    </w:p>
    <w:p w14:paraId="6136989B"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22. </w:t>
      </w:r>
      <w:r>
        <w:rPr>
          <w:rFonts w:ascii="Times New Roman" w:hAnsi="Times New Roman" w:cs="Times New Roman"/>
          <w:sz w:val="24"/>
          <w:szCs w:val="24"/>
        </w:rPr>
        <w:tab/>
        <w:t xml:space="preserve">Mamun MA, Al-Mamun F, Roy N, Raquib A, Kaggwa MM, ALmerab MM, et al. </w:t>
      </w:r>
      <w:r>
        <w:rPr>
          <w:rFonts w:ascii="Times New Roman" w:hAnsi="Times New Roman" w:cs="Times New Roman"/>
          <w:sz w:val="24"/>
          <w:szCs w:val="24"/>
          <w:lang w:val="en-US"/>
        </w:rPr>
        <w:t xml:space="preserve">Preconception and gestational versus postnatal exposure to air pollutants and risk of autism spectrum disorder: a systematic review and meta-analysis. Int Arch Occup Environ Health. janv 2025;98(1):33-57. </w:t>
      </w:r>
    </w:p>
    <w:p w14:paraId="06894DF3"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23. </w:t>
      </w:r>
      <w:r>
        <w:rPr>
          <w:rFonts w:ascii="Times New Roman" w:hAnsi="Times New Roman" w:cs="Times New Roman"/>
          <w:sz w:val="24"/>
          <w:szCs w:val="24"/>
        </w:rPr>
        <w:tab/>
        <w:t xml:space="preserve">Ding M, Shi S, Qie S, Li J, Xi X. </w:t>
      </w:r>
      <w:r>
        <w:rPr>
          <w:rFonts w:ascii="Times New Roman" w:hAnsi="Times New Roman" w:cs="Times New Roman"/>
          <w:sz w:val="24"/>
          <w:szCs w:val="24"/>
          <w:lang w:val="en-US"/>
        </w:rPr>
        <w:t xml:space="preserve">Association between heavy metals exposure (cadmium, lead, arsenic, mercury) and child autistic disorder: a systematic review and meta-analysis. Front Pediatr. 4 juill 2023;11:1169733. </w:t>
      </w:r>
    </w:p>
    <w:p w14:paraId="5C801C5F"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24. </w:t>
      </w:r>
      <w:r>
        <w:rPr>
          <w:rFonts w:ascii="Times New Roman" w:hAnsi="Times New Roman" w:cs="Times New Roman"/>
          <w:sz w:val="24"/>
          <w:szCs w:val="24"/>
        </w:rPr>
        <w:tab/>
        <w:t xml:space="preserve">Nakhaee S, Amirabadizadeh A, Farnia V, Azadi NA, Mansouri B, Radmehr F. </w:t>
      </w:r>
      <w:r>
        <w:rPr>
          <w:rFonts w:ascii="Times New Roman" w:hAnsi="Times New Roman" w:cs="Times New Roman"/>
          <w:sz w:val="24"/>
          <w:szCs w:val="24"/>
          <w:lang w:val="en-US"/>
        </w:rPr>
        <w:t xml:space="preserve">Association Between Biological Lead Concentrations and Autism Spectrum Disorder (ASD) in Children: a Systematic Review and Meta-Analysis. Biol Trace Elem Res. avr 2023;201(4):1567-81. </w:t>
      </w:r>
    </w:p>
    <w:p w14:paraId="39CD5216" w14:textId="77777777" w:rsidR="00466CC6" w:rsidRDefault="00466CC6" w:rsidP="00466CC6">
      <w:pPr>
        <w:pStyle w:val="Bibliographie"/>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25. </w:t>
      </w:r>
      <w:r>
        <w:rPr>
          <w:rFonts w:ascii="Times New Roman" w:hAnsi="Times New Roman" w:cs="Times New Roman"/>
          <w:sz w:val="24"/>
          <w:szCs w:val="24"/>
        </w:rPr>
        <w:tab/>
        <w:t xml:space="preserve">Stojsavljević A, Lakićević N, Pavlović S. </w:t>
      </w:r>
      <w:r>
        <w:rPr>
          <w:rFonts w:ascii="Times New Roman" w:hAnsi="Times New Roman" w:cs="Times New Roman"/>
          <w:sz w:val="24"/>
          <w:szCs w:val="24"/>
          <w:lang w:val="en-US"/>
        </w:rPr>
        <w:t xml:space="preserve">Mercury and Autism Spectrum Disorder: Exploring the Link through Comprehensive Review and Meta-Analysis. Biomedicines. 18 déc 2023;11(12):3344. </w:t>
      </w:r>
    </w:p>
    <w:p w14:paraId="14D2ED36" w14:textId="77777777" w:rsidR="0071564C" w:rsidRPr="00360574" w:rsidRDefault="009B240A" w:rsidP="00466CC6">
      <w:pPr>
        <w:spacing w:after="0" w:line="360" w:lineRule="auto"/>
        <w:jc w:val="both"/>
        <w:rPr>
          <w:rFonts w:ascii="Times New Roman" w:hAnsi="Times New Roman" w:cs="Times New Roman"/>
          <w:sz w:val="24"/>
          <w:szCs w:val="24"/>
        </w:rPr>
        <w:sectPr w:rsidR="0071564C" w:rsidRPr="00360574" w:rsidSect="00A97E13">
          <w:pgSz w:w="11906" w:h="16838"/>
          <w:pgMar w:top="1417" w:right="1417" w:bottom="1417" w:left="1417" w:header="708" w:footer="708" w:gutter="0"/>
          <w:cols w:space="708"/>
          <w:docGrid w:linePitch="360"/>
        </w:sectPr>
      </w:pPr>
      <w:r>
        <w:rPr>
          <w:rFonts w:ascii="Times New Roman" w:hAnsi="Times New Roman" w:cs="Times New Roman"/>
          <w:sz w:val="24"/>
          <w:szCs w:val="24"/>
        </w:rPr>
        <w:fldChar w:fldCharType="end"/>
      </w:r>
    </w:p>
    <w:p w14:paraId="7AE2F493" w14:textId="61D8E347" w:rsidR="009B240A" w:rsidRDefault="0071564C" w:rsidP="0071564C">
      <w:pPr>
        <w:pStyle w:val="Titre1"/>
        <w:spacing w:before="0"/>
        <w:rPr>
          <w:rFonts w:ascii="Times New Roman" w:hAnsi="Times New Roman" w:cs="Times New Roman"/>
          <w:b/>
          <w:bCs/>
          <w:color w:val="000000" w:themeColor="text1"/>
          <w:sz w:val="24"/>
          <w:szCs w:val="24"/>
        </w:rPr>
      </w:pPr>
      <w:bookmarkStart w:id="16" w:name="_Toc221394041"/>
      <w:r>
        <w:rPr>
          <w:rFonts w:ascii="Times New Roman" w:hAnsi="Times New Roman" w:cs="Times New Roman"/>
          <w:b/>
          <w:bCs/>
          <w:color w:val="000000" w:themeColor="text1"/>
          <w:sz w:val="24"/>
          <w:szCs w:val="24"/>
        </w:rPr>
        <w:lastRenderedPageBreak/>
        <w:t>Annexes</w:t>
      </w:r>
      <w:bookmarkEnd w:id="16"/>
    </w:p>
    <w:p w14:paraId="430ACF42" w14:textId="221BE721" w:rsidR="00E61ABB" w:rsidRPr="00E61ABB" w:rsidRDefault="00B0303A" w:rsidP="00E61ABB">
      <w:r>
        <w:rPr>
          <w:rFonts w:ascii="Times New Roman" w:hAnsi="Times New Roman" w:cs="Times New Roman"/>
          <w:b/>
          <w:bCs/>
          <w:sz w:val="24"/>
          <w:szCs w:val="24"/>
        </w:rPr>
        <w:t xml:space="preserve">Annexe </w:t>
      </w:r>
      <w:r>
        <w:rPr>
          <w:rFonts w:ascii="Times New Roman" w:hAnsi="Times New Roman" w:cs="Times New Roman"/>
          <w:b/>
          <w:bCs/>
          <w:sz w:val="24"/>
          <w:szCs w:val="24"/>
        </w:rPr>
        <w:t>1 :</w:t>
      </w:r>
    </w:p>
    <w:p w14:paraId="6F18164E" w14:textId="190F4F8A" w:rsidR="00E61ABB" w:rsidRPr="00360574" w:rsidRDefault="00E61ABB" w:rsidP="00E61ABB">
      <w:pPr>
        <w:pStyle w:val="Lgende"/>
        <w:rPr>
          <w:rFonts w:ascii="Times New Roman" w:hAnsi="Times New Roman" w:cs="Times New Roman"/>
          <w:i w:val="0"/>
          <w:iCs w:val="0"/>
          <w:color w:val="000000" w:themeColor="text1"/>
          <w:sz w:val="24"/>
          <w:szCs w:val="24"/>
        </w:rPr>
      </w:pPr>
      <w:bookmarkStart w:id="17" w:name="_Ref231626531"/>
      <w:r w:rsidRPr="00E61ABB">
        <w:rPr>
          <w:rFonts w:ascii="Times New Roman" w:hAnsi="Times New Roman" w:cs="Times New Roman"/>
          <w:b/>
          <w:bCs/>
          <w:i w:val="0"/>
          <w:iCs w:val="0"/>
          <w:color w:val="000000" w:themeColor="text1"/>
          <w:sz w:val="24"/>
          <w:szCs w:val="24"/>
        </w:rPr>
        <w:t xml:space="preserve">Tableau </w:t>
      </w:r>
      <w:r w:rsidRPr="00E61ABB">
        <w:rPr>
          <w:rFonts w:ascii="Times New Roman" w:hAnsi="Times New Roman" w:cs="Times New Roman"/>
          <w:b/>
          <w:bCs/>
          <w:i w:val="0"/>
          <w:iCs w:val="0"/>
          <w:color w:val="000000" w:themeColor="text1"/>
          <w:sz w:val="24"/>
          <w:szCs w:val="24"/>
        </w:rPr>
        <w:fldChar w:fldCharType="begin"/>
      </w:r>
      <w:r w:rsidRPr="00E61ABB">
        <w:rPr>
          <w:rFonts w:ascii="Times New Roman" w:hAnsi="Times New Roman" w:cs="Times New Roman"/>
          <w:b/>
          <w:bCs/>
          <w:i w:val="0"/>
          <w:iCs w:val="0"/>
          <w:color w:val="000000" w:themeColor="text1"/>
          <w:sz w:val="24"/>
          <w:szCs w:val="24"/>
        </w:rPr>
        <w:instrText xml:space="preserve"> SEQ Tableau \* ARABIC </w:instrText>
      </w:r>
      <w:r w:rsidRPr="00E61ABB">
        <w:rPr>
          <w:rFonts w:ascii="Times New Roman" w:hAnsi="Times New Roman" w:cs="Times New Roman"/>
          <w:b/>
          <w:bCs/>
          <w:i w:val="0"/>
          <w:iCs w:val="0"/>
          <w:color w:val="000000" w:themeColor="text1"/>
          <w:sz w:val="24"/>
          <w:szCs w:val="24"/>
        </w:rPr>
        <w:fldChar w:fldCharType="separate"/>
      </w:r>
      <w:r w:rsidRPr="00E61ABB">
        <w:rPr>
          <w:rFonts w:ascii="Times New Roman" w:hAnsi="Times New Roman" w:cs="Times New Roman"/>
          <w:b/>
          <w:bCs/>
          <w:i w:val="0"/>
          <w:iCs w:val="0"/>
          <w:noProof/>
          <w:color w:val="000000" w:themeColor="text1"/>
          <w:sz w:val="24"/>
          <w:szCs w:val="24"/>
        </w:rPr>
        <w:t>1</w:t>
      </w:r>
      <w:r w:rsidRPr="00E61ABB">
        <w:rPr>
          <w:rFonts w:ascii="Times New Roman" w:hAnsi="Times New Roman" w:cs="Times New Roman"/>
          <w:b/>
          <w:bCs/>
          <w:i w:val="0"/>
          <w:iCs w:val="0"/>
          <w:color w:val="000000" w:themeColor="text1"/>
          <w:sz w:val="24"/>
          <w:szCs w:val="24"/>
        </w:rPr>
        <w:fldChar w:fldCharType="end"/>
      </w:r>
      <w:bookmarkEnd w:id="17"/>
      <w:r w:rsidRPr="00E61ABB">
        <w:rPr>
          <w:rFonts w:ascii="Times New Roman" w:hAnsi="Times New Roman" w:cs="Times New Roman"/>
          <w:b/>
          <w:bCs/>
          <w:i w:val="0"/>
          <w:iCs w:val="0"/>
          <w:color w:val="000000" w:themeColor="text1"/>
          <w:sz w:val="24"/>
          <w:szCs w:val="24"/>
        </w:rPr>
        <w:t> :</w:t>
      </w:r>
      <w:r w:rsidRPr="00E61ABB">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Détail des 10 articles les plus cités</w:t>
      </w:r>
    </w:p>
    <w:tbl>
      <w:tblPr>
        <w:tblStyle w:val="Grilledutableau"/>
        <w:tblW w:w="15001" w:type="dxa"/>
        <w:tblInd w:w="-572" w:type="dxa"/>
        <w:tblLook w:val="04A0" w:firstRow="1" w:lastRow="0" w:firstColumn="1" w:lastColumn="0" w:noHBand="0" w:noVBand="1"/>
      </w:tblPr>
      <w:tblGrid>
        <w:gridCol w:w="486"/>
        <w:gridCol w:w="2879"/>
        <w:gridCol w:w="1520"/>
        <w:gridCol w:w="1634"/>
        <w:gridCol w:w="1205"/>
        <w:gridCol w:w="7277"/>
      </w:tblGrid>
      <w:tr w:rsidR="00E61ABB" w:rsidRPr="00360574" w14:paraId="78C4AF59" w14:textId="77777777" w:rsidTr="00755DB2">
        <w:trPr>
          <w:trHeight w:val="595"/>
          <w:tblHeader/>
        </w:trPr>
        <w:tc>
          <w:tcPr>
            <w:tcW w:w="0" w:type="auto"/>
            <w:hideMark/>
          </w:tcPr>
          <w:p w14:paraId="0A1CB343" w14:textId="77777777" w:rsidR="00E61ABB" w:rsidRPr="00360574" w:rsidRDefault="00E61ABB" w:rsidP="00755DB2">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N°</w:t>
            </w:r>
          </w:p>
        </w:tc>
        <w:tc>
          <w:tcPr>
            <w:tcW w:w="2884" w:type="dxa"/>
            <w:hideMark/>
          </w:tcPr>
          <w:p w14:paraId="0A15CDD0" w14:textId="77777777" w:rsidR="00E61ABB" w:rsidRPr="00360574" w:rsidRDefault="00E61ABB" w:rsidP="00755DB2">
            <w:pPr>
              <w:spacing w:line="276" w:lineRule="auto"/>
              <w:rPr>
                <w:rFonts w:ascii="Times New Roman" w:hAnsi="Times New Roman" w:cs="Times New Roman"/>
                <w:b/>
                <w:bCs/>
                <w:sz w:val="24"/>
                <w:szCs w:val="24"/>
              </w:rPr>
            </w:pPr>
            <w:r>
              <w:rPr>
                <w:rFonts w:ascii="Times New Roman" w:hAnsi="Times New Roman" w:cs="Times New Roman"/>
                <w:b/>
                <w:bCs/>
                <w:sz w:val="24"/>
                <w:szCs w:val="24"/>
              </w:rPr>
              <w:t>Titre de l’article</w:t>
            </w:r>
          </w:p>
        </w:tc>
        <w:tc>
          <w:tcPr>
            <w:tcW w:w="1520" w:type="dxa"/>
            <w:hideMark/>
          </w:tcPr>
          <w:p w14:paraId="01854815" w14:textId="77777777" w:rsidR="00E61ABB" w:rsidRPr="00360574" w:rsidRDefault="00E61ABB" w:rsidP="00755DB2">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Auteur (année)</w:t>
            </w:r>
          </w:p>
        </w:tc>
        <w:tc>
          <w:tcPr>
            <w:tcW w:w="1615" w:type="dxa"/>
            <w:hideMark/>
          </w:tcPr>
          <w:p w14:paraId="712B04D9" w14:textId="77777777" w:rsidR="00E61ABB" w:rsidRPr="00360574" w:rsidRDefault="00E61ABB" w:rsidP="00755DB2">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Journal</w:t>
            </w:r>
          </w:p>
        </w:tc>
        <w:tc>
          <w:tcPr>
            <w:tcW w:w="1205" w:type="dxa"/>
            <w:hideMark/>
          </w:tcPr>
          <w:p w14:paraId="1A65F405" w14:textId="77777777" w:rsidR="00E61ABB" w:rsidRPr="00360574" w:rsidRDefault="00E61ABB" w:rsidP="00755DB2">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Citations</w:t>
            </w:r>
          </w:p>
        </w:tc>
        <w:tc>
          <w:tcPr>
            <w:tcW w:w="7297" w:type="dxa"/>
            <w:hideMark/>
          </w:tcPr>
          <w:p w14:paraId="544F1425" w14:textId="77777777" w:rsidR="00E61ABB" w:rsidRPr="00360574" w:rsidRDefault="00E61ABB" w:rsidP="00755DB2">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Résumé</w:t>
            </w:r>
          </w:p>
        </w:tc>
      </w:tr>
      <w:tr w:rsidR="00E61ABB" w:rsidRPr="00360574" w14:paraId="2D49A223" w14:textId="77777777" w:rsidTr="00755DB2">
        <w:trPr>
          <w:trHeight w:val="1494"/>
        </w:trPr>
        <w:tc>
          <w:tcPr>
            <w:tcW w:w="0" w:type="auto"/>
            <w:hideMark/>
          </w:tcPr>
          <w:p w14:paraId="2C87D65B"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1</w:t>
            </w:r>
          </w:p>
        </w:tc>
        <w:tc>
          <w:tcPr>
            <w:tcW w:w="2884" w:type="dxa"/>
            <w:hideMark/>
          </w:tcPr>
          <w:p w14:paraId="72371F9F"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Environmental risk factors for autism: an evidence-based review of systematic reviews and meta-analyses</w:t>
            </w:r>
          </w:p>
        </w:tc>
        <w:tc>
          <w:tcPr>
            <w:tcW w:w="1520" w:type="dxa"/>
            <w:hideMark/>
          </w:tcPr>
          <w:p w14:paraId="47C50A4D"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Modabbernia et al. (2017)</w:t>
            </w:r>
          </w:p>
        </w:tc>
        <w:tc>
          <w:tcPr>
            <w:tcW w:w="1615" w:type="dxa"/>
            <w:hideMark/>
          </w:tcPr>
          <w:p w14:paraId="6D290968"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Molecular Autism</w:t>
            </w:r>
          </w:p>
        </w:tc>
        <w:tc>
          <w:tcPr>
            <w:tcW w:w="1205" w:type="dxa"/>
            <w:hideMark/>
          </w:tcPr>
          <w:p w14:paraId="5A5AC807"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579</w:t>
            </w:r>
          </w:p>
        </w:tc>
        <w:tc>
          <w:tcPr>
            <w:tcW w:w="7297" w:type="dxa"/>
            <w:hideMark/>
          </w:tcPr>
          <w:p w14:paraId="67B88816"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Revue systématique et méta-analyse de revues évaluant les facteurs environnementaux associés au TSA. L’étude distingue les facteurs non associés (vaccination, tabagisme maternel, thimérosal) et ceux présentant une association (âge parental avancé, complications périnatales). Les preuves concernant les métaux lourds sont jugées limitées mais plausibles.</w:t>
            </w:r>
          </w:p>
        </w:tc>
      </w:tr>
      <w:tr w:rsidR="00E61ABB" w:rsidRPr="00360574" w14:paraId="40D5990A" w14:textId="77777777" w:rsidTr="00755DB2">
        <w:trPr>
          <w:trHeight w:val="1787"/>
        </w:trPr>
        <w:tc>
          <w:tcPr>
            <w:tcW w:w="0" w:type="auto"/>
            <w:hideMark/>
          </w:tcPr>
          <w:p w14:paraId="7CDDF300"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2</w:t>
            </w:r>
          </w:p>
        </w:tc>
        <w:tc>
          <w:tcPr>
            <w:tcW w:w="2884" w:type="dxa"/>
            <w:hideMark/>
          </w:tcPr>
          <w:p w14:paraId="69C0427B" w14:textId="77777777" w:rsidR="00E61ABB" w:rsidRPr="00360574" w:rsidRDefault="00E61ABB" w:rsidP="00755DB2">
            <w:pPr>
              <w:spacing w:line="276" w:lineRule="auto"/>
              <w:rPr>
                <w:rFonts w:ascii="Times New Roman" w:hAnsi="Times New Roman" w:cs="Times New Roman"/>
                <w:sz w:val="24"/>
                <w:szCs w:val="24"/>
              </w:rPr>
            </w:pPr>
            <w:r>
              <w:rPr>
                <w:rFonts w:ascii="Times New Roman" w:hAnsi="Times New Roman" w:cs="Times New Roman"/>
                <w:i/>
                <w:iCs/>
                <w:sz w:val="24"/>
                <w:szCs w:val="24"/>
              </w:rPr>
              <w:t>Environmental toxicants and autism spectrum disorders</w:t>
            </w:r>
          </w:p>
        </w:tc>
        <w:tc>
          <w:tcPr>
            <w:tcW w:w="1520" w:type="dxa"/>
            <w:hideMark/>
          </w:tcPr>
          <w:p w14:paraId="0FC34FB7"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Rossignol et al. (2014)</w:t>
            </w:r>
          </w:p>
        </w:tc>
        <w:tc>
          <w:tcPr>
            <w:tcW w:w="1615" w:type="dxa"/>
            <w:hideMark/>
          </w:tcPr>
          <w:p w14:paraId="52D5C997"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Translational Psychiatry</w:t>
            </w:r>
          </w:p>
        </w:tc>
        <w:tc>
          <w:tcPr>
            <w:tcW w:w="1205" w:type="dxa"/>
            <w:hideMark/>
          </w:tcPr>
          <w:p w14:paraId="6EA382D7"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336</w:t>
            </w:r>
          </w:p>
        </w:tc>
        <w:tc>
          <w:tcPr>
            <w:tcW w:w="7297" w:type="dxa"/>
            <w:hideMark/>
          </w:tcPr>
          <w:p w14:paraId="11DF5BE8"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Revue systématique des études portant sur les toxiques environnementaux et le TSA. Les auteurs classent les travaux selon l’exposition environnementale, les biomarqueurs et les susceptibilités génétiques. L’étude met en évidence des interactions possibles entre facteurs génétiques et expositions toxiques durant des périodes critiques du neurodéveloppement.</w:t>
            </w:r>
          </w:p>
        </w:tc>
      </w:tr>
      <w:tr w:rsidR="00E61ABB" w:rsidRPr="00360574" w14:paraId="0DFAEA8F" w14:textId="77777777" w:rsidTr="00755DB2">
        <w:trPr>
          <w:trHeight w:val="1831"/>
        </w:trPr>
        <w:tc>
          <w:tcPr>
            <w:tcW w:w="0" w:type="auto"/>
            <w:hideMark/>
          </w:tcPr>
          <w:p w14:paraId="5D5CF297"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3</w:t>
            </w:r>
          </w:p>
        </w:tc>
        <w:tc>
          <w:tcPr>
            <w:tcW w:w="2884" w:type="dxa"/>
            <w:hideMark/>
          </w:tcPr>
          <w:p w14:paraId="51D38284"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Maternal residence near agricultural pesticide applications and autism spectrum disorders among children in the Central Valley of California</w:t>
            </w:r>
          </w:p>
        </w:tc>
        <w:tc>
          <w:tcPr>
            <w:tcW w:w="1520" w:type="dxa"/>
            <w:hideMark/>
          </w:tcPr>
          <w:p w14:paraId="3A42DEDD"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Roberts et al. (2007)</w:t>
            </w:r>
          </w:p>
        </w:tc>
        <w:tc>
          <w:tcPr>
            <w:tcW w:w="1615" w:type="dxa"/>
            <w:hideMark/>
          </w:tcPr>
          <w:p w14:paraId="326CA71E"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Environmental Health Perspectives</w:t>
            </w:r>
          </w:p>
        </w:tc>
        <w:tc>
          <w:tcPr>
            <w:tcW w:w="1205" w:type="dxa"/>
            <w:hideMark/>
          </w:tcPr>
          <w:p w14:paraId="0D53F3C8"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304</w:t>
            </w:r>
          </w:p>
        </w:tc>
        <w:tc>
          <w:tcPr>
            <w:tcW w:w="7297" w:type="dxa"/>
            <w:hideMark/>
          </w:tcPr>
          <w:p w14:paraId="68BBF6E0"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Étude cas-témoins évaluant l’exposition prénatale aux pesticides agricoles via la proximité résidentielle. Une association forte est observée entre l’exposition aux pesticides organochlorés durant les premières semaines de gestation et le risque de TSA. Le risque augmente avec la dose appliquée et diminue avec la distance. L’étude suggère une fenêtre de vulnérabilité précoce du développement.</w:t>
            </w:r>
          </w:p>
        </w:tc>
      </w:tr>
      <w:tr w:rsidR="00E61ABB" w:rsidRPr="00360574" w14:paraId="559BED6F" w14:textId="77777777" w:rsidTr="00755DB2">
        <w:trPr>
          <w:trHeight w:val="1191"/>
        </w:trPr>
        <w:tc>
          <w:tcPr>
            <w:tcW w:w="0" w:type="auto"/>
            <w:hideMark/>
          </w:tcPr>
          <w:p w14:paraId="6E053B1A"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4</w:t>
            </w:r>
          </w:p>
        </w:tc>
        <w:tc>
          <w:tcPr>
            <w:tcW w:w="2884" w:type="dxa"/>
            <w:hideMark/>
          </w:tcPr>
          <w:p w14:paraId="59B93567"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Autism spectrum disorders in relation to distribution of hazardous air pollutants in the San Francisco Bay Area</w:t>
            </w:r>
          </w:p>
        </w:tc>
        <w:tc>
          <w:tcPr>
            <w:tcW w:w="1520" w:type="dxa"/>
            <w:hideMark/>
          </w:tcPr>
          <w:p w14:paraId="31428C0E"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Windham et al. (2006)</w:t>
            </w:r>
          </w:p>
        </w:tc>
        <w:tc>
          <w:tcPr>
            <w:tcW w:w="1615" w:type="dxa"/>
            <w:hideMark/>
          </w:tcPr>
          <w:p w14:paraId="6103D48B"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Environmental Health Perspectives</w:t>
            </w:r>
          </w:p>
        </w:tc>
        <w:tc>
          <w:tcPr>
            <w:tcW w:w="1205" w:type="dxa"/>
            <w:hideMark/>
          </w:tcPr>
          <w:p w14:paraId="6AFDC211"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300</w:t>
            </w:r>
          </w:p>
        </w:tc>
        <w:tc>
          <w:tcPr>
            <w:tcW w:w="7297" w:type="dxa"/>
            <w:hideMark/>
          </w:tcPr>
          <w:p w14:paraId="240B03C2"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Étude cas-témoins reliant les concentrations de polluants atmosphériques dangereux aux TSA. Les auteurs identifient des associations avec les métaux lourds et certains solvants. Les analyses par groupes de polluants suggèrent des mécanismes toxicologiques communs.</w:t>
            </w:r>
          </w:p>
        </w:tc>
      </w:tr>
      <w:tr w:rsidR="00E61ABB" w:rsidRPr="00360574" w14:paraId="46D230F0" w14:textId="77777777" w:rsidTr="00755DB2">
        <w:trPr>
          <w:trHeight w:val="765"/>
        </w:trPr>
        <w:tc>
          <w:tcPr>
            <w:tcW w:w="0" w:type="auto"/>
            <w:hideMark/>
          </w:tcPr>
          <w:p w14:paraId="59F0B1DC"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5</w:t>
            </w:r>
          </w:p>
        </w:tc>
        <w:tc>
          <w:tcPr>
            <w:tcW w:w="2884" w:type="dxa"/>
            <w:hideMark/>
          </w:tcPr>
          <w:p w14:paraId="01E42C67"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Autism spectrum disorder and particulate matter air pollution before, during, and after pregnancy</w:t>
            </w:r>
          </w:p>
        </w:tc>
        <w:tc>
          <w:tcPr>
            <w:tcW w:w="1520" w:type="dxa"/>
            <w:hideMark/>
          </w:tcPr>
          <w:p w14:paraId="298818FA"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Raz et al. (2015)</w:t>
            </w:r>
          </w:p>
        </w:tc>
        <w:tc>
          <w:tcPr>
            <w:tcW w:w="1615" w:type="dxa"/>
            <w:hideMark/>
          </w:tcPr>
          <w:p w14:paraId="6532F315"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Environmental Health Perspectives</w:t>
            </w:r>
          </w:p>
        </w:tc>
        <w:tc>
          <w:tcPr>
            <w:tcW w:w="1205" w:type="dxa"/>
            <w:hideMark/>
          </w:tcPr>
          <w:p w14:paraId="6EA44950"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259</w:t>
            </w:r>
          </w:p>
        </w:tc>
        <w:tc>
          <w:tcPr>
            <w:tcW w:w="7297" w:type="dxa"/>
            <w:hideMark/>
          </w:tcPr>
          <w:p w14:paraId="2F9D765A"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Étude cas-témoins nichée dans la cohorte Nurses’ Health Study II. Une association significative est observée entre l’exposition prénatale aux PM2,5 et le risque de TSA, particulièrement au troisième trimestre. Les expositions pré- et postnatales montrent des effets plus faibles.</w:t>
            </w:r>
          </w:p>
        </w:tc>
      </w:tr>
      <w:tr w:rsidR="00E61ABB" w:rsidRPr="00360574" w14:paraId="29FA1714" w14:textId="77777777" w:rsidTr="00755DB2">
        <w:trPr>
          <w:trHeight w:val="1191"/>
        </w:trPr>
        <w:tc>
          <w:tcPr>
            <w:tcW w:w="0" w:type="auto"/>
            <w:hideMark/>
          </w:tcPr>
          <w:p w14:paraId="08AC43A7"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6</w:t>
            </w:r>
          </w:p>
        </w:tc>
        <w:tc>
          <w:tcPr>
            <w:tcW w:w="2884" w:type="dxa"/>
            <w:hideMark/>
          </w:tcPr>
          <w:p w14:paraId="53AC16B0"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Perinatal exposure to hazardous air pollutants and autism spectrum disorder</w:t>
            </w:r>
          </w:p>
        </w:tc>
        <w:tc>
          <w:tcPr>
            <w:tcW w:w="1520" w:type="dxa"/>
            <w:hideMark/>
          </w:tcPr>
          <w:p w14:paraId="0BEF408C"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Roberts et al. (2013)</w:t>
            </w:r>
          </w:p>
        </w:tc>
        <w:tc>
          <w:tcPr>
            <w:tcW w:w="1615" w:type="dxa"/>
            <w:hideMark/>
          </w:tcPr>
          <w:p w14:paraId="748BEFD5"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Environmental Health Perspectives</w:t>
            </w:r>
          </w:p>
        </w:tc>
        <w:tc>
          <w:tcPr>
            <w:tcW w:w="1205" w:type="dxa"/>
            <w:hideMark/>
          </w:tcPr>
          <w:p w14:paraId="377CA854"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234</w:t>
            </w:r>
          </w:p>
        </w:tc>
        <w:tc>
          <w:tcPr>
            <w:tcW w:w="7297" w:type="dxa"/>
            <w:hideMark/>
          </w:tcPr>
          <w:p w14:paraId="4452725C"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Étude cas-témoins évaluant l’exposition périnatale aux polluants atmosphériques dangereux. Des associations significatives sont observées avec le diesel, le plomb, le mercure et un indice global de métaux. Les effets sont plus marqués chez les garçons.</w:t>
            </w:r>
          </w:p>
        </w:tc>
      </w:tr>
      <w:tr w:rsidR="00E61ABB" w:rsidRPr="00360574" w14:paraId="3B134DC6" w14:textId="77777777" w:rsidTr="00755DB2">
        <w:trPr>
          <w:trHeight w:val="1494"/>
        </w:trPr>
        <w:tc>
          <w:tcPr>
            <w:tcW w:w="0" w:type="auto"/>
            <w:hideMark/>
          </w:tcPr>
          <w:p w14:paraId="7A542411"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884" w:type="dxa"/>
            <w:hideMark/>
          </w:tcPr>
          <w:p w14:paraId="08F89D29"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A systematic review and meta-analysis of multiple airborne pollutants and autism spectrum disorder</w:t>
            </w:r>
          </w:p>
        </w:tc>
        <w:tc>
          <w:tcPr>
            <w:tcW w:w="1520" w:type="dxa"/>
            <w:hideMark/>
          </w:tcPr>
          <w:p w14:paraId="44B1E079"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Lam et al. (2016)</w:t>
            </w:r>
          </w:p>
        </w:tc>
        <w:tc>
          <w:tcPr>
            <w:tcW w:w="1615" w:type="dxa"/>
            <w:hideMark/>
          </w:tcPr>
          <w:p w14:paraId="76FD4CBC"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PLOS ONE</w:t>
            </w:r>
          </w:p>
        </w:tc>
        <w:tc>
          <w:tcPr>
            <w:tcW w:w="1205" w:type="dxa"/>
            <w:hideMark/>
          </w:tcPr>
          <w:p w14:paraId="6E75ACC6"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178</w:t>
            </w:r>
          </w:p>
        </w:tc>
        <w:tc>
          <w:tcPr>
            <w:tcW w:w="7297" w:type="dxa"/>
            <w:hideMark/>
          </w:tcPr>
          <w:p w14:paraId="33721819"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Revue systématique et méta-analyse examinant l’exposition à divers polluants atmosphériques. Des associations significatives sont mises en évidence pour les PM2,5 et PM10. Les preuves sont jugées de qualité modérée, avec une hétérogénéité importante entre études. L’exposition prénatale aux particules fines apparaît comme le facteur le plus robuste.</w:t>
            </w:r>
          </w:p>
        </w:tc>
      </w:tr>
      <w:tr w:rsidR="00E61ABB" w:rsidRPr="00360574" w14:paraId="208D1D5E" w14:textId="77777777" w:rsidTr="00755DB2">
        <w:trPr>
          <w:trHeight w:val="1485"/>
        </w:trPr>
        <w:tc>
          <w:tcPr>
            <w:tcW w:w="0" w:type="auto"/>
            <w:hideMark/>
          </w:tcPr>
          <w:p w14:paraId="6E9B84D6"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884" w:type="dxa"/>
            <w:hideMark/>
          </w:tcPr>
          <w:p w14:paraId="5F43F2C3"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Fine particulate matter exposure and autism spectrum disorder: prenatal and postnatal vulnerability windows</w:t>
            </w:r>
          </w:p>
        </w:tc>
        <w:tc>
          <w:tcPr>
            <w:tcW w:w="1520" w:type="dxa"/>
            <w:hideMark/>
          </w:tcPr>
          <w:p w14:paraId="4CC507C5"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Kalkbrenner et al. (2015)</w:t>
            </w:r>
          </w:p>
        </w:tc>
        <w:tc>
          <w:tcPr>
            <w:tcW w:w="1615" w:type="dxa"/>
            <w:hideMark/>
          </w:tcPr>
          <w:p w14:paraId="3DC7DDBE"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Epidemiology</w:t>
            </w:r>
          </w:p>
        </w:tc>
        <w:tc>
          <w:tcPr>
            <w:tcW w:w="1205" w:type="dxa"/>
            <w:hideMark/>
          </w:tcPr>
          <w:p w14:paraId="37929F4F"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146</w:t>
            </w:r>
          </w:p>
        </w:tc>
        <w:tc>
          <w:tcPr>
            <w:tcW w:w="7297" w:type="dxa"/>
            <w:hideMark/>
          </w:tcPr>
          <w:p w14:paraId="0EF67903"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Étude cas-témoins analysant l’exposition aux PM10 de la période préconceptionnelle à la petite enfance. Une augmentation du risque de TSA est observée pour l’exposition au troisième trimestre. Les résultats confirment une vulnérabilité accrue en fin de grossesse.</w:t>
            </w:r>
          </w:p>
        </w:tc>
      </w:tr>
      <w:tr w:rsidR="00E61ABB" w:rsidRPr="00360574" w14:paraId="1C032546" w14:textId="77777777" w:rsidTr="00755DB2">
        <w:trPr>
          <w:trHeight w:val="1191"/>
        </w:trPr>
        <w:tc>
          <w:tcPr>
            <w:tcW w:w="0" w:type="auto"/>
            <w:hideMark/>
          </w:tcPr>
          <w:p w14:paraId="60AC583E"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884" w:type="dxa"/>
            <w:hideMark/>
          </w:tcPr>
          <w:p w14:paraId="4EC22C19"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Maternal exposure to air pollution and risk of autism in children: a systematic review and meta-analysis</w:t>
            </w:r>
          </w:p>
        </w:tc>
        <w:tc>
          <w:tcPr>
            <w:tcW w:w="1520" w:type="dxa"/>
            <w:hideMark/>
          </w:tcPr>
          <w:p w14:paraId="0A22924D"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Chun et al. (2020)</w:t>
            </w:r>
          </w:p>
        </w:tc>
        <w:tc>
          <w:tcPr>
            <w:tcW w:w="1615" w:type="dxa"/>
            <w:hideMark/>
          </w:tcPr>
          <w:p w14:paraId="6B5357EE"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Environmental Pollution</w:t>
            </w:r>
          </w:p>
        </w:tc>
        <w:tc>
          <w:tcPr>
            <w:tcW w:w="1205" w:type="dxa"/>
            <w:hideMark/>
          </w:tcPr>
          <w:p w14:paraId="77613BFF"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115</w:t>
            </w:r>
          </w:p>
        </w:tc>
        <w:tc>
          <w:tcPr>
            <w:tcW w:w="7297" w:type="dxa"/>
            <w:hideMark/>
          </w:tcPr>
          <w:p w14:paraId="68478D43"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Revue systématique et méta-analyse portant sur l’exposition maternelle à la pollution atmosphérique. Les preuves sont solides pour les PM2,5, plus faibles pour le NO2, et limitées pour les PM10 et l’ozone. Les associations varient selon le trimestre de grossesse.</w:t>
            </w:r>
          </w:p>
        </w:tc>
      </w:tr>
      <w:tr w:rsidR="00E61ABB" w:rsidRPr="00360574" w14:paraId="3BCFB7E0" w14:textId="77777777" w:rsidTr="00755DB2">
        <w:trPr>
          <w:trHeight w:val="1191"/>
        </w:trPr>
        <w:tc>
          <w:tcPr>
            <w:tcW w:w="0" w:type="auto"/>
            <w:hideMark/>
          </w:tcPr>
          <w:p w14:paraId="3FB9B16A"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884" w:type="dxa"/>
            <w:hideMark/>
          </w:tcPr>
          <w:p w14:paraId="51D8182F" w14:textId="77777777" w:rsidR="00E61ABB" w:rsidRPr="00360574" w:rsidRDefault="00E61ABB" w:rsidP="00755DB2">
            <w:pPr>
              <w:spacing w:line="276" w:lineRule="auto"/>
              <w:rPr>
                <w:rFonts w:ascii="Times New Roman" w:hAnsi="Times New Roman" w:cs="Times New Roman"/>
                <w:sz w:val="24"/>
                <w:szCs w:val="24"/>
                <w:lang w:val="en-US"/>
              </w:rPr>
            </w:pPr>
            <w:r>
              <w:rPr>
                <w:rFonts w:ascii="Times New Roman" w:hAnsi="Times New Roman" w:cs="Times New Roman"/>
                <w:i/>
                <w:iCs/>
                <w:sz w:val="24"/>
                <w:szCs w:val="24"/>
                <w:lang w:val="en-US"/>
              </w:rPr>
              <w:t>Fine particulate matter and the risk of autism spectrum disorder</w:t>
            </w:r>
          </w:p>
        </w:tc>
        <w:tc>
          <w:tcPr>
            <w:tcW w:w="1520" w:type="dxa"/>
            <w:hideMark/>
          </w:tcPr>
          <w:p w14:paraId="6A249365"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Talbott et al. (2015)</w:t>
            </w:r>
          </w:p>
        </w:tc>
        <w:tc>
          <w:tcPr>
            <w:tcW w:w="1615" w:type="dxa"/>
            <w:hideMark/>
          </w:tcPr>
          <w:p w14:paraId="18377F1B"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Environmental Research</w:t>
            </w:r>
          </w:p>
        </w:tc>
        <w:tc>
          <w:tcPr>
            <w:tcW w:w="1205" w:type="dxa"/>
            <w:hideMark/>
          </w:tcPr>
          <w:p w14:paraId="2413FA7D" w14:textId="77777777" w:rsidR="00E61ABB" w:rsidRPr="00360574" w:rsidRDefault="00E61ABB" w:rsidP="00755DB2">
            <w:pPr>
              <w:spacing w:line="276" w:lineRule="auto"/>
              <w:jc w:val="center"/>
              <w:rPr>
                <w:rFonts w:ascii="Times New Roman" w:hAnsi="Times New Roman" w:cs="Times New Roman"/>
                <w:sz w:val="24"/>
                <w:szCs w:val="24"/>
              </w:rPr>
            </w:pPr>
            <w:r>
              <w:rPr>
                <w:rFonts w:ascii="Times New Roman" w:hAnsi="Times New Roman" w:cs="Times New Roman"/>
                <w:sz w:val="24"/>
                <w:szCs w:val="24"/>
              </w:rPr>
              <w:t>115</w:t>
            </w:r>
          </w:p>
        </w:tc>
        <w:tc>
          <w:tcPr>
            <w:tcW w:w="7297" w:type="dxa"/>
            <w:hideMark/>
          </w:tcPr>
          <w:p w14:paraId="2D7D526C" w14:textId="77777777" w:rsidR="00E61ABB" w:rsidRPr="00360574" w:rsidRDefault="00E61ABB" w:rsidP="00755DB2">
            <w:pPr>
              <w:spacing w:line="276" w:lineRule="auto"/>
              <w:jc w:val="both"/>
              <w:rPr>
                <w:rFonts w:ascii="Times New Roman" w:hAnsi="Times New Roman" w:cs="Times New Roman"/>
                <w:sz w:val="24"/>
                <w:szCs w:val="24"/>
              </w:rPr>
            </w:pPr>
            <w:r>
              <w:rPr>
                <w:rFonts w:ascii="Times New Roman" w:hAnsi="Times New Roman" w:cs="Times New Roman"/>
                <w:sz w:val="24"/>
                <w:szCs w:val="24"/>
              </w:rPr>
              <w:t>Étude cas-témoins populationnelle évaluant l’exposition prénatale et postnatale aux PM2,5. Des associations significatives sont observées pour certaines périodes de grossesse et la petite enfance. L’effet cumulatif des expositions est également mis en évidence.</w:t>
            </w:r>
          </w:p>
        </w:tc>
      </w:tr>
    </w:tbl>
    <w:p w14:paraId="10BDFFCE" w14:textId="1EC1950C" w:rsidR="00E61ABB" w:rsidRPr="00E61ABB" w:rsidRDefault="00E61ABB" w:rsidP="00E61ABB">
      <w:pPr>
        <w:tabs>
          <w:tab w:val="left" w:pos="2373"/>
        </w:tabs>
        <w:rPr>
          <w:rFonts w:ascii="Times New Roman" w:hAnsi="Times New Roman" w:cs="Times New Roman"/>
          <w:sz w:val="24"/>
          <w:szCs w:val="24"/>
        </w:rPr>
        <w:sectPr w:rsidR="00E61ABB" w:rsidRPr="00E61ABB" w:rsidSect="00E61ABB">
          <w:pgSz w:w="16838" w:h="11906" w:orient="landscape"/>
          <w:pgMar w:top="1276" w:right="1418" w:bottom="1135" w:left="1418" w:header="709" w:footer="709" w:gutter="0"/>
          <w:cols w:space="708"/>
          <w:docGrid w:linePitch="360"/>
        </w:sectPr>
      </w:pPr>
    </w:p>
    <w:p w14:paraId="6FCDA1F0" w14:textId="1CCF30B7" w:rsidR="00D63A2F" w:rsidRDefault="00D63A2F" w:rsidP="00E61ABB">
      <w:pPr>
        <w:tabs>
          <w:tab w:val="left" w:pos="426"/>
        </w:tabs>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Annexe </w:t>
      </w:r>
      <w:r w:rsidR="00B0303A">
        <w:rPr>
          <w:rFonts w:ascii="Times New Roman" w:hAnsi="Times New Roman" w:cs="Times New Roman"/>
          <w:b/>
          <w:bCs/>
          <w:sz w:val="24"/>
          <w:szCs w:val="24"/>
        </w:rPr>
        <w:t>2</w:t>
      </w:r>
      <w:r>
        <w:rPr>
          <w:rFonts w:ascii="Times New Roman" w:hAnsi="Times New Roman" w:cs="Times New Roman"/>
          <w:b/>
          <w:bCs/>
          <w:sz w:val="24"/>
          <w:szCs w:val="24"/>
        </w:rPr>
        <w:t xml:space="preserve"> : </w:t>
      </w:r>
      <w:r>
        <w:rPr>
          <w:rFonts w:ascii="Times New Roman" w:hAnsi="Times New Roman" w:cs="Times New Roman"/>
          <w:sz w:val="24"/>
          <w:szCs w:val="24"/>
        </w:rPr>
        <w:t>Corpus d’articles extraits de Web of Science</w:t>
      </w:r>
      <w:r>
        <w:rPr>
          <w:rFonts w:ascii="Times New Roman" w:hAnsi="Times New Roman" w:cs="Times New Roman"/>
          <w:b/>
          <w:bCs/>
          <w:sz w:val="24"/>
          <w:szCs w:val="24"/>
        </w:rPr>
        <w:t xml:space="preserve"> </w:t>
      </w:r>
    </w:p>
    <w:p w14:paraId="3ECA5BD0" w14:textId="77777777" w:rsidR="00D63A2F" w:rsidRPr="00D63A2F" w:rsidRDefault="00D63A2F" w:rsidP="00D63A2F">
      <w:pPr>
        <w:spacing w:line="360" w:lineRule="auto"/>
        <w:rPr>
          <w:rFonts w:ascii="Times New Roman" w:hAnsi="Times New Roman" w:cs="Times New Roman"/>
          <w:sz w:val="24"/>
          <w:szCs w:val="24"/>
        </w:rPr>
      </w:pPr>
      <w:r>
        <w:rPr>
          <w:rFonts w:ascii="Times New Roman" w:hAnsi="Times New Roman" w:cs="Times New Roman"/>
          <w:sz w:val="24"/>
          <w:szCs w:val="24"/>
        </w:rPr>
        <w:t xml:space="preserve">Disponible au lien web suivant : </w:t>
      </w:r>
      <w:hyperlink r:id="rId11" w:history="1">
        <w:r>
          <w:rPr>
            <w:rStyle w:val="Lienhypertexte"/>
            <w:rFonts w:ascii="Times New Roman" w:hAnsi="Times New Roman" w:cs="Times New Roman"/>
            <w:sz w:val="24"/>
            <w:szCs w:val="24"/>
          </w:rPr>
          <w:t>https://drive.google.com/file/d/1hNRSjC0ZatpdfoO93LdyvvbRsLurZ5oe/view?usp=sharing</w:t>
        </w:r>
      </w:hyperlink>
      <w:r>
        <w:rPr>
          <w:rFonts w:ascii="Times New Roman" w:hAnsi="Times New Roman" w:cs="Times New Roman"/>
          <w:sz w:val="24"/>
          <w:szCs w:val="24"/>
        </w:rPr>
        <w:t xml:space="preserve"> </w:t>
      </w:r>
    </w:p>
    <w:p w14:paraId="74311C7E" w14:textId="705FD467" w:rsidR="00D63A2F" w:rsidRDefault="00686D74" w:rsidP="00C37C3E">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Annexe </w:t>
      </w:r>
      <w:r w:rsidR="00976C41">
        <w:rPr>
          <w:rFonts w:ascii="Times New Roman" w:hAnsi="Times New Roman" w:cs="Times New Roman"/>
          <w:b/>
          <w:bCs/>
          <w:sz w:val="24"/>
          <w:szCs w:val="24"/>
        </w:rPr>
        <w:t>3</w:t>
      </w:r>
      <w:r>
        <w:rPr>
          <w:rFonts w:ascii="Times New Roman" w:hAnsi="Times New Roman" w:cs="Times New Roman"/>
          <w:b/>
          <w:bCs/>
          <w:sz w:val="24"/>
          <w:szCs w:val="24"/>
        </w:rPr>
        <w:t> :</w:t>
      </w:r>
      <w:r>
        <w:rPr>
          <w:rFonts w:ascii="Times New Roman" w:hAnsi="Times New Roman" w:cs="Times New Roman"/>
          <w:sz w:val="24"/>
          <w:szCs w:val="24"/>
        </w:rPr>
        <w:t xml:space="preserve"> Commandes d’analyse des données </w:t>
      </w:r>
      <w:r w:rsidR="00976C41">
        <w:rPr>
          <w:rFonts w:ascii="Times New Roman" w:hAnsi="Times New Roman" w:cs="Times New Roman"/>
          <w:sz w:val="24"/>
          <w:szCs w:val="24"/>
        </w:rPr>
        <w:t>bibliographiques</w:t>
      </w:r>
    </w:p>
    <w:p w14:paraId="1B1EF720" w14:textId="77777777" w:rsidR="00686D74" w:rsidRDefault="00D63A2F" w:rsidP="00D63A2F">
      <w:pPr>
        <w:pStyle w:val="Paragraphedeliste"/>
        <w:numPr>
          <w:ilvl w:val="0"/>
          <w:numId w:val="8"/>
        </w:numPr>
        <w:spacing w:line="360" w:lineRule="auto"/>
        <w:jc w:val="both"/>
        <w:rPr>
          <w:rFonts w:ascii="Times New Roman" w:hAnsi="Times New Roman" w:cs="Times New Roman"/>
          <w:b/>
          <w:bCs/>
          <w:sz w:val="24"/>
          <w:szCs w:val="24"/>
        </w:rPr>
      </w:pPr>
      <w:bookmarkStart w:id="18" w:name="_Hlk221364279"/>
      <w:r>
        <w:rPr>
          <w:rFonts w:ascii="Times New Roman" w:hAnsi="Times New Roman" w:cs="Times New Roman"/>
          <w:b/>
          <w:bCs/>
          <w:sz w:val="24"/>
          <w:szCs w:val="24"/>
        </w:rPr>
        <w:t>Commandes R de l’analyse descriptive avec bibliometrix (R)</w:t>
      </w:r>
    </w:p>
    <w:p w14:paraId="583067E8" w14:textId="0D048C14" w:rsidR="0014681B" w:rsidRPr="0014681B" w:rsidRDefault="0014681B" w:rsidP="0014681B">
      <w:pPr>
        <w:spacing w:line="360" w:lineRule="auto"/>
        <w:jc w:val="both"/>
        <w:rPr>
          <w:rFonts w:ascii="Times New Roman" w:hAnsi="Times New Roman" w:cs="Times New Roman"/>
          <w:sz w:val="24"/>
          <w:szCs w:val="24"/>
        </w:rPr>
      </w:pPr>
      <w:r w:rsidRPr="0014681B">
        <w:rPr>
          <w:rFonts w:ascii="Times New Roman" w:hAnsi="Times New Roman" w:cs="Times New Roman"/>
          <w:sz w:val="24"/>
          <w:szCs w:val="24"/>
        </w:rPr>
        <w:t>Disponible sur Github :</w:t>
      </w:r>
      <w:r>
        <w:rPr>
          <w:rFonts w:ascii="Times New Roman" w:hAnsi="Times New Roman" w:cs="Times New Roman"/>
          <w:sz w:val="24"/>
          <w:szCs w:val="24"/>
        </w:rPr>
        <w:t xml:space="preserve"> </w:t>
      </w:r>
      <w:hyperlink r:id="rId12" w:history="1">
        <w:r w:rsidRPr="0014681B">
          <w:rPr>
            <w:rStyle w:val="Lienhypertexte"/>
            <w:rFonts w:ascii="Times New Roman" w:hAnsi="Times New Roman" w:cs="Times New Roman"/>
            <w:sz w:val="24"/>
            <w:szCs w:val="24"/>
          </w:rPr>
          <w:t>https://github.com/Hippy24/tsa</w:t>
        </w:r>
      </w:hyperlink>
    </w:p>
    <w:bookmarkEnd w:id="18"/>
    <w:p w14:paraId="73547C89" w14:textId="77777777" w:rsidR="00C37C3E" w:rsidRPr="00E5504C" w:rsidRDefault="00D63A2F" w:rsidP="00D63A2F">
      <w:pPr>
        <w:pStyle w:val="Paragraphedeliste"/>
        <w:numPr>
          <w:ilvl w:val="0"/>
          <w:numId w:val="8"/>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Commandes VOSviever de l’analyse de la cooccurrence des mots </w:t>
      </w:r>
    </w:p>
    <w:p w14:paraId="0B3A78A0" w14:textId="77777777" w:rsidR="00775CBC" w:rsidRPr="00C37C3E" w:rsidRDefault="00D63A2F" w:rsidP="00A608E3">
      <w:pPr>
        <w:spacing w:line="360" w:lineRule="auto"/>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creat &gt; creat map based on bibliographique data &gt;read from bibliographique data files &gt; VOSviever &gt; co-occurrence + All keyword &gt; Minimum number of occurences of a keyword : 10 &gt; Number of keywords to be selected : 272 &gt;  map of co occurrence of all keyword</w:t>
      </w:r>
    </w:p>
    <w:sectPr w:rsidR="00775CBC" w:rsidRPr="00C37C3E" w:rsidSect="00AD60A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9D5C2" w14:textId="77777777" w:rsidR="00833567" w:rsidRDefault="00833567" w:rsidP="00F71749">
      <w:pPr>
        <w:spacing w:after="0" w:line="240" w:lineRule="auto"/>
      </w:pPr>
      <w:r>
        <w:separator/>
      </w:r>
    </w:p>
  </w:endnote>
  <w:endnote w:type="continuationSeparator" w:id="0">
    <w:p w14:paraId="7FBB7B15" w14:textId="77777777" w:rsidR="00833567" w:rsidRDefault="00833567" w:rsidP="00F7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C8D4" w14:textId="03E9969A" w:rsidR="00AB19DC" w:rsidRPr="00AB19DC" w:rsidRDefault="00AB19DC">
    <w:pPr>
      <w:pStyle w:val="Pieddepage"/>
      <w:jc w:val="right"/>
      <w:rPr>
        <w:rFonts w:ascii="Times New Roman" w:hAnsi="Times New Roman" w:cs="Times New Roman"/>
        <w:b/>
        <w:bCs/>
        <w:sz w:val="20"/>
        <w:szCs w:val="20"/>
      </w:rPr>
    </w:pPr>
  </w:p>
  <w:p w14:paraId="195E4F79" w14:textId="77777777" w:rsidR="00AB19DC" w:rsidRDefault="00AB19D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647159"/>
      <w:docPartObj>
        <w:docPartGallery w:val="Page Numbers (Bottom of Page)"/>
        <w:docPartUnique/>
      </w:docPartObj>
    </w:sdtPr>
    <w:sdtEndPr>
      <w:rPr>
        <w:rFonts w:ascii="Times New Roman" w:hAnsi="Times New Roman" w:cs="Times New Roman"/>
        <w:b/>
        <w:bCs/>
        <w:sz w:val="20"/>
        <w:szCs w:val="20"/>
      </w:rPr>
    </w:sdtEndPr>
    <w:sdtContent>
      <w:p w14:paraId="0F57F51C" w14:textId="77777777" w:rsidR="00AD60A8" w:rsidRPr="00AB19DC" w:rsidRDefault="00AD60A8">
        <w:pPr>
          <w:pStyle w:val="Pieddepage"/>
          <w:jc w:val="right"/>
          <w:rPr>
            <w:rFonts w:ascii="Times New Roman" w:hAnsi="Times New Roman" w:cs="Times New Roman"/>
            <w:b/>
            <w:bCs/>
            <w:sz w:val="20"/>
            <w:szCs w:val="20"/>
          </w:rPr>
        </w:pPr>
        <w:r w:rsidRPr="00AB19DC">
          <w:rPr>
            <w:rFonts w:ascii="Times New Roman" w:hAnsi="Times New Roman" w:cs="Times New Roman"/>
            <w:b/>
            <w:bCs/>
            <w:sz w:val="20"/>
            <w:szCs w:val="20"/>
          </w:rPr>
          <w:fldChar w:fldCharType="begin"/>
        </w:r>
        <w:r w:rsidRPr="00AB19DC">
          <w:rPr>
            <w:rFonts w:ascii="Times New Roman" w:hAnsi="Times New Roman" w:cs="Times New Roman"/>
            <w:b/>
            <w:bCs/>
            <w:sz w:val="20"/>
            <w:szCs w:val="20"/>
          </w:rPr>
          <w:instrText>PAGE   \* MERGEFORMAT</w:instrText>
        </w:r>
        <w:r w:rsidRPr="00AB19DC">
          <w:rPr>
            <w:rFonts w:ascii="Times New Roman" w:hAnsi="Times New Roman" w:cs="Times New Roman"/>
            <w:b/>
            <w:bCs/>
            <w:sz w:val="20"/>
            <w:szCs w:val="20"/>
          </w:rPr>
          <w:fldChar w:fldCharType="separate"/>
        </w:r>
        <w:r w:rsidRPr="00AB19DC">
          <w:rPr>
            <w:rFonts w:ascii="Times New Roman" w:hAnsi="Times New Roman" w:cs="Times New Roman"/>
            <w:b/>
            <w:bCs/>
            <w:sz w:val="20"/>
            <w:szCs w:val="20"/>
          </w:rPr>
          <w:t>2</w:t>
        </w:r>
        <w:r w:rsidRPr="00AB19DC">
          <w:rPr>
            <w:rFonts w:ascii="Times New Roman" w:hAnsi="Times New Roman" w:cs="Times New Roman"/>
            <w:b/>
            <w:bCs/>
            <w:sz w:val="20"/>
            <w:szCs w:val="20"/>
          </w:rPr>
          <w:fldChar w:fldCharType="end"/>
        </w:r>
      </w:p>
    </w:sdtContent>
  </w:sdt>
  <w:p w14:paraId="3C62F0FD" w14:textId="77777777" w:rsidR="00AD60A8" w:rsidRDefault="00AD60A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D1ABB" w14:textId="77777777" w:rsidR="00833567" w:rsidRDefault="00833567" w:rsidP="00F71749">
      <w:pPr>
        <w:spacing w:after="0" w:line="240" w:lineRule="auto"/>
      </w:pPr>
      <w:r>
        <w:separator/>
      </w:r>
    </w:p>
  </w:footnote>
  <w:footnote w:type="continuationSeparator" w:id="0">
    <w:p w14:paraId="0784AC4E" w14:textId="77777777" w:rsidR="00833567" w:rsidRDefault="00833567" w:rsidP="00F71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E16"/>
    <w:multiLevelType w:val="multilevel"/>
    <w:tmpl w:val="FCC6EBFE"/>
    <w:lvl w:ilvl="0">
      <w:start w:val="2"/>
      <w:numFmt w:val="decimal"/>
      <w:lvlText w:val="%1."/>
      <w:lvlJc w:val="left"/>
      <w:pPr>
        <w:ind w:left="360" w:hanging="360"/>
      </w:pPr>
      <w:rPr>
        <w:rFonts w:hint="default"/>
        <w:b/>
        <w:bCs/>
      </w:rPr>
    </w:lvl>
    <w:lvl w:ilvl="1">
      <w:start w:val="1"/>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428015C"/>
    <w:multiLevelType w:val="multilevel"/>
    <w:tmpl w:val="78DCFF76"/>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E83285"/>
    <w:multiLevelType w:val="hybridMultilevel"/>
    <w:tmpl w:val="BC0E1884"/>
    <w:lvl w:ilvl="0" w:tplc="0242F27A">
      <w:start w:val="4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86740A1"/>
    <w:multiLevelType w:val="hybridMultilevel"/>
    <w:tmpl w:val="24CE4F1A"/>
    <w:lvl w:ilvl="0" w:tplc="1C0C0001">
      <w:start w:val="1"/>
      <w:numFmt w:val="bullet"/>
      <w:lvlText w:val=""/>
      <w:lvlJc w:val="left"/>
      <w:pPr>
        <w:ind w:left="720" w:hanging="360"/>
      </w:pPr>
      <w:rPr>
        <w:rFonts w:ascii="Symbol" w:hAnsi="Symbol" w:hint="default"/>
      </w:rPr>
    </w:lvl>
    <w:lvl w:ilvl="1" w:tplc="1C0C0003" w:tentative="1">
      <w:start w:val="1"/>
      <w:numFmt w:val="bullet"/>
      <w:lvlText w:val="o"/>
      <w:lvlJc w:val="left"/>
      <w:pPr>
        <w:ind w:left="1440" w:hanging="360"/>
      </w:pPr>
      <w:rPr>
        <w:rFonts w:ascii="Courier New" w:hAnsi="Courier New" w:cs="Courier New" w:hint="default"/>
      </w:rPr>
    </w:lvl>
    <w:lvl w:ilvl="2" w:tplc="1C0C0005" w:tentative="1">
      <w:start w:val="1"/>
      <w:numFmt w:val="bullet"/>
      <w:lvlText w:val=""/>
      <w:lvlJc w:val="left"/>
      <w:pPr>
        <w:ind w:left="2160" w:hanging="360"/>
      </w:pPr>
      <w:rPr>
        <w:rFonts w:ascii="Wingdings" w:hAnsi="Wingdings" w:hint="default"/>
      </w:rPr>
    </w:lvl>
    <w:lvl w:ilvl="3" w:tplc="1C0C0001" w:tentative="1">
      <w:start w:val="1"/>
      <w:numFmt w:val="bullet"/>
      <w:lvlText w:val=""/>
      <w:lvlJc w:val="left"/>
      <w:pPr>
        <w:ind w:left="2880" w:hanging="360"/>
      </w:pPr>
      <w:rPr>
        <w:rFonts w:ascii="Symbol" w:hAnsi="Symbol" w:hint="default"/>
      </w:rPr>
    </w:lvl>
    <w:lvl w:ilvl="4" w:tplc="1C0C0003" w:tentative="1">
      <w:start w:val="1"/>
      <w:numFmt w:val="bullet"/>
      <w:lvlText w:val="o"/>
      <w:lvlJc w:val="left"/>
      <w:pPr>
        <w:ind w:left="3600" w:hanging="360"/>
      </w:pPr>
      <w:rPr>
        <w:rFonts w:ascii="Courier New" w:hAnsi="Courier New" w:cs="Courier New" w:hint="default"/>
      </w:rPr>
    </w:lvl>
    <w:lvl w:ilvl="5" w:tplc="1C0C0005" w:tentative="1">
      <w:start w:val="1"/>
      <w:numFmt w:val="bullet"/>
      <w:lvlText w:val=""/>
      <w:lvlJc w:val="left"/>
      <w:pPr>
        <w:ind w:left="4320" w:hanging="360"/>
      </w:pPr>
      <w:rPr>
        <w:rFonts w:ascii="Wingdings" w:hAnsi="Wingdings" w:hint="default"/>
      </w:rPr>
    </w:lvl>
    <w:lvl w:ilvl="6" w:tplc="1C0C0001" w:tentative="1">
      <w:start w:val="1"/>
      <w:numFmt w:val="bullet"/>
      <w:lvlText w:val=""/>
      <w:lvlJc w:val="left"/>
      <w:pPr>
        <w:ind w:left="5040" w:hanging="360"/>
      </w:pPr>
      <w:rPr>
        <w:rFonts w:ascii="Symbol" w:hAnsi="Symbol" w:hint="default"/>
      </w:rPr>
    </w:lvl>
    <w:lvl w:ilvl="7" w:tplc="1C0C0003" w:tentative="1">
      <w:start w:val="1"/>
      <w:numFmt w:val="bullet"/>
      <w:lvlText w:val="o"/>
      <w:lvlJc w:val="left"/>
      <w:pPr>
        <w:ind w:left="5760" w:hanging="360"/>
      </w:pPr>
      <w:rPr>
        <w:rFonts w:ascii="Courier New" w:hAnsi="Courier New" w:cs="Courier New" w:hint="default"/>
      </w:rPr>
    </w:lvl>
    <w:lvl w:ilvl="8" w:tplc="1C0C0005" w:tentative="1">
      <w:start w:val="1"/>
      <w:numFmt w:val="bullet"/>
      <w:lvlText w:val=""/>
      <w:lvlJc w:val="left"/>
      <w:pPr>
        <w:ind w:left="6480" w:hanging="360"/>
      </w:pPr>
      <w:rPr>
        <w:rFonts w:ascii="Wingdings" w:hAnsi="Wingdings" w:hint="default"/>
      </w:rPr>
    </w:lvl>
  </w:abstractNum>
  <w:abstractNum w:abstractNumId="4" w15:restartNumberingAfterBreak="0">
    <w:nsid w:val="2FCA051D"/>
    <w:multiLevelType w:val="hybridMultilevel"/>
    <w:tmpl w:val="A8F8DB9E"/>
    <w:lvl w:ilvl="0" w:tplc="23C252EC">
      <w:start w:val="1"/>
      <w:numFmt w:val="decimal"/>
      <w:lvlText w:val="%1."/>
      <w:lvlJc w:val="left"/>
      <w:pPr>
        <w:ind w:left="720" w:hanging="360"/>
      </w:pPr>
      <w:rPr>
        <w:rFonts w:hint="default"/>
        <w:color w:val="000000" w:themeColor="text1"/>
      </w:rPr>
    </w:lvl>
    <w:lvl w:ilvl="1" w:tplc="1C0C0019">
      <w:start w:val="1"/>
      <w:numFmt w:val="lowerLetter"/>
      <w:lvlText w:val="%2."/>
      <w:lvlJc w:val="left"/>
      <w:pPr>
        <w:ind w:left="1440" w:hanging="360"/>
      </w:pPr>
    </w:lvl>
    <w:lvl w:ilvl="2" w:tplc="1C0C001B" w:tentative="1">
      <w:start w:val="1"/>
      <w:numFmt w:val="lowerRoman"/>
      <w:lvlText w:val="%3."/>
      <w:lvlJc w:val="right"/>
      <w:pPr>
        <w:ind w:left="2160" w:hanging="180"/>
      </w:pPr>
    </w:lvl>
    <w:lvl w:ilvl="3" w:tplc="1C0C000F" w:tentative="1">
      <w:start w:val="1"/>
      <w:numFmt w:val="decimal"/>
      <w:lvlText w:val="%4."/>
      <w:lvlJc w:val="left"/>
      <w:pPr>
        <w:ind w:left="2880" w:hanging="360"/>
      </w:pPr>
    </w:lvl>
    <w:lvl w:ilvl="4" w:tplc="1C0C0019" w:tentative="1">
      <w:start w:val="1"/>
      <w:numFmt w:val="lowerLetter"/>
      <w:lvlText w:val="%5."/>
      <w:lvlJc w:val="left"/>
      <w:pPr>
        <w:ind w:left="3600" w:hanging="360"/>
      </w:pPr>
    </w:lvl>
    <w:lvl w:ilvl="5" w:tplc="1C0C001B" w:tentative="1">
      <w:start w:val="1"/>
      <w:numFmt w:val="lowerRoman"/>
      <w:lvlText w:val="%6."/>
      <w:lvlJc w:val="right"/>
      <w:pPr>
        <w:ind w:left="4320" w:hanging="180"/>
      </w:pPr>
    </w:lvl>
    <w:lvl w:ilvl="6" w:tplc="1C0C000F" w:tentative="1">
      <w:start w:val="1"/>
      <w:numFmt w:val="decimal"/>
      <w:lvlText w:val="%7."/>
      <w:lvlJc w:val="left"/>
      <w:pPr>
        <w:ind w:left="5040" w:hanging="360"/>
      </w:pPr>
    </w:lvl>
    <w:lvl w:ilvl="7" w:tplc="1C0C0019" w:tentative="1">
      <w:start w:val="1"/>
      <w:numFmt w:val="lowerLetter"/>
      <w:lvlText w:val="%8."/>
      <w:lvlJc w:val="left"/>
      <w:pPr>
        <w:ind w:left="5760" w:hanging="360"/>
      </w:pPr>
    </w:lvl>
    <w:lvl w:ilvl="8" w:tplc="1C0C001B" w:tentative="1">
      <w:start w:val="1"/>
      <w:numFmt w:val="lowerRoman"/>
      <w:lvlText w:val="%9."/>
      <w:lvlJc w:val="right"/>
      <w:pPr>
        <w:ind w:left="6480" w:hanging="180"/>
      </w:pPr>
    </w:lvl>
  </w:abstractNum>
  <w:abstractNum w:abstractNumId="5" w15:restartNumberingAfterBreak="0">
    <w:nsid w:val="5E2A3B43"/>
    <w:multiLevelType w:val="multilevel"/>
    <w:tmpl w:val="67129028"/>
    <w:lvl w:ilvl="0">
      <w:start w:val="1"/>
      <w:numFmt w:val="decimal"/>
      <w:lvlText w:val="%1."/>
      <w:lvlJc w:val="left"/>
      <w:pPr>
        <w:ind w:left="720" w:hanging="360"/>
      </w:pPr>
      <w:rPr>
        <w:rFonts w:hint="default"/>
        <w:b/>
        <w:bCs/>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84A2958"/>
    <w:multiLevelType w:val="multilevel"/>
    <w:tmpl w:val="964660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4134150"/>
    <w:multiLevelType w:val="multilevel"/>
    <w:tmpl w:val="A6BE5F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511524A"/>
    <w:multiLevelType w:val="multilevel"/>
    <w:tmpl w:val="34528924"/>
    <w:lvl w:ilvl="0">
      <w:start w:val="3"/>
      <w:numFmt w:val="decimal"/>
      <w:lvlText w:val="%1."/>
      <w:lvlJc w:val="left"/>
      <w:pPr>
        <w:ind w:left="360" w:hanging="360"/>
      </w:pPr>
      <w:rPr>
        <w:rFonts w:hint="default"/>
        <w:color w:val="000000" w:themeColor="text1"/>
      </w:rPr>
    </w:lvl>
    <w:lvl w:ilvl="1">
      <w:start w:val="1"/>
      <w:numFmt w:val="decimal"/>
      <w:lvlText w:val="%1.%2."/>
      <w:lvlJc w:val="left"/>
      <w:pPr>
        <w:ind w:left="720" w:hanging="360"/>
      </w:pPr>
      <w:rPr>
        <w:rFonts w:hint="default"/>
        <w:color w:val="000000" w:themeColor="text1"/>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color w:val="000000" w:themeColor="text1"/>
      </w:rPr>
    </w:lvl>
    <w:lvl w:ilvl="4">
      <w:start w:val="1"/>
      <w:numFmt w:val="decimal"/>
      <w:lvlText w:val="%1.%2.%3.%4.%5."/>
      <w:lvlJc w:val="left"/>
      <w:pPr>
        <w:ind w:left="2520" w:hanging="1080"/>
      </w:pPr>
      <w:rPr>
        <w:rFonts w:hint="default"/>
        <w:color w:val="000000" w:themeColor="text1"/>
      </w:rPr>
    </w:lvl>
    <w:lvl w:ilvl="5">
      <w:start w:val="1"/>
      <w:numFmt w:val="decimal"/>
      <w:lvlText w:val="%1.%2.%3.%4.%5.%6."/>
      <w:lvlJc w:val="left"/>
      <w:pPr>
        <w:ind w:left="2880" w:hanging="1080"/>
      </w:pPr>
      <w:rPr>
        <w:rFonts w:hint="default"/>
        <w:color w:val="000000" w:themeColor="text1"/>
      </w:rPr>
    </w:lvl>
    <w:lvl w:ilvl="6">
      <w:start w:val="1"/>
      <w:numFmt w:val="decimal"/>
      <w:lvlText w:val="%1.%2.%3.%4.%5.%6.%7."/>
      <w:lvlJc w:val="left"/>
      <w:pPr>
        <w:ind w:left="3600" w:hanging="1440"/>
      </w:pPr>
      <w:rPr>
        <w:rFonts w:hint="default"/>
        <w:color w:val="000000" w:themeColor="text1"/>
      </w:rPr>
    </w:lvl>
    <w:lvl w:ilvl="7">
      <w:start w:val="1"/>
      <w:numFmt w:val="decimal"/>
      <w:lvlText w:val="%1.%2.%3.%4.%5.%6.%7.%8."/>
      <w:lvlJc w:val="left"/>
      <w:pPr>
        <w:ind w:left="3960" w:hanging="1440"/>
      </w:pPr>
      <w:rPr>
        <w:rFonts w:hint="default"/>
        <w:color w:val="000000" w:themeColor="text1"/>
      </w:rPr>
    </w:lvl>
    <w:lvl w:ilvl="8">
      <w:start w:val="1"/>
      <w:numFmt w:val="decimal"/>
      <w:lvlText w:val="%1.%2.%3.%4.%5.%6.%7.%8.%9."/>
      <w:lvlJc w:val="left"/>
      <w:pPr>
        <w:ind w:left="4680" w:hanging="1800"/>
      </w:pPr>
      <w:rPr>
        <w:rFonts w:hint="default"/>
        <w:color w:val="000000" w:themeColor="text1"/>
      </w:rPr>
    </w:lvl>
  </w:abstractNum>
  <w:num w:numId="1" w16cid:durableId="685061403">
    <w:abstractNumId w:val="2"/>
  </w:num>
  <w:num w:numId="2" w16cid:durableId="1907841350">
    <w:abstractNumId w:val="1"/>
  </w:num>
  <w:num w:numId="3" w16cid:durableId="1385061324">
    <w:abstractNumId w:val="5"/>
  </w:num>
  <w:num w:numId="4" w16cid:durableId="629630901">
    <w:abstractNumId w:val="0"/>
  </w:num>
  <w:num w:numId="5" w16cid:durableId="1173494318">
    <w:abstractNumId w:val="4"/>
  </w:num>
  <w:num w:numId="6" w16cid:durableId="1289579906">
    <w:abstractNumId w:val="6"/>
  </w:num>
  <w:num w:numId="7" w16cid:durableId="2013099593">
    <w:abstractNumId w:val="7"/>
  </w:num>
  <w:num w:numId="8" w16cid:durableId="4289170">
    <w:abstractNumId w:val="3"/>
  </w:num>
  <w:num w:numId="9" w16cid:durableId="1626043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DA2"/>
    <w:rsid w:val="0000515C"/>
    <w:rsid w:val="00007221"/>
    <w:rsid w:val="0001186B"/>
    <w:rsid w:val="000248CB"/>
    <w:rsid w:val="00033652"/>
    <w:rsid w:val="000350AF"/>
    <w:rsid w:val="000411AB"/>
    <w:rsid w:val="00050418"/>
    <w:rsid w:val="000617AC"/>
    <w:rsid w:val="00061BDF"/>
    <w:rsid w:val="0007011F"/>
    <w:rsid w:val="00077720"/>
    <w:rsid w:val="00081099"/>
    <w:rsid w:val="00084860"/>
    <w:rsid w:val="000849C9"/>
    <w:rsid w:val="00094D5F"/>
    <w:rsid w:val="00097491"/>
    <w:rsid w:val="000A3AFF"/>
    <w:rsid w:val="000A5070"/>
    <w:rsid w:val="000A63F0"/>
    <w:rsid w:val="000B458A"/>
    <w:rsid w:val="000B7DD7"/>
    <w:rsid w:val="000C5BC6"/>
    <w:rsid w:val="000E00C1"/>
    <w:rsid w:val="000E1231"/>
    <w:rsid w:val="000E125E"/>
    <w:rsid w:val="000E710C"/>
    <w:rsid w:val="000F0052"/>
    <w:rsid w:val="000F5903"/>
    <w:rsid w:val="000F5CE2"/>
    <w:rsid w:val="00101855"/>
    <w:rsid w:val="00104923"/>
    <w:rsid w:val="00107FA8"/>
    <w:rsid w:val="00110E45"/>
    <w:rsid w:val="00112FAB"/>
    <w:rsid w:val="00113B3B"/>
    <w:rsid w:val="00135E6E"/>
    <w:rsid w:val="00143680"/>
    <w:rsid w:val="00143CCC"/>
    <w:rsid w:val="0014681B"/>
    <w:rsid w:val="00150DBB"/>
    <w:rsid w:val="00151EB0"/>
    <w:rsid w:val="00153F83"/>
    <w:rsid w:val="00155074"/>
    <w:rsid w:val="0016153B"/>
    <w:rsid w:val="00161A70"/>
    <w:rsid w:val="0016281A"/>
    <w:rsid w:val="001658C9"/>
    <w:rsid w:val="00167C5F"/>
    <w:rsid w:val="001838CA"/>
    <w:rsid w:val="00186CC4"/>
    <w:rsid w:val="00186DCC"/>
    <w:rsid w:val="00187912"/>
    <w:rsid w:val="00196B4A"/>
    <w:rsid w:val="00197DF7"/>
    <w:rsid w:val="001A21E4"/>
    <w:rsid w:val="001A2B8C"/>
    <w:rsid w:val="001D117A"/>
    <w:rsid w:val="001D34CD"/>
    <w:rsid w:val="001D4990"/>
    <w:rsid w:val="001E1D44"/>
    <w:rsid w:val="001E6D1D"/>
    <w:rsid w:val="001E750D"/>
    <w:rsid w:val="00200206"/>
    <w:rsid w:val="00200C0F"/>
    <w:rsid w:val="00213FA2"/>
    <w:rsid w:val="00220655"/>
    <w:rsid w:val="00223093"/>
    <w:rsid w:val="00225CE2"/>
    <w:rsid w:val="00226396"/>
    <w:rsid w:val="00232669"/>
    <w:rsid w:val="0025317B"/>
    <w:rsid w:val="00262914"/>
    <w:rsid w:val="0027666E"/>
    <w:rsid w:val="0027690B"/>
    <w:rsid w:val="00281C0E"/>
    <w:rsid w:val="00282495"/>
    <w:rsid w:val="0028280B"/>
    <w:rsid w:val="00282ECE"/>
    <w:rsid w:val="00282F8E"/>
    <w:rsid w:val="00297F06"/>
    <w:rsid w:val="002A6122"/>
    <w:rsid w:val="002C45FE"/>
    <w:rsid w:val="002E2238"/>
    <w:rsid w:val="002E3072"/>
    <w:rsid w:val="003026B6"/>
    <w:rsid w:val="003036B9"/>
    <w:rsid w:val="0030778A"/>
    <w:rsid w:val="0032590A"/>
    <w:rsid w:val="00327598"/>
    <w:rsid w:val="00334E42"/>
    <w:rsid w:val="003463E8"/>
    <w:rsid w:val="00360574"/>
    <w:rsid w:val="00363B37"/>
    <w:rsid w:val="00363C8B"/>
    <w:rsid w:val="00367F6E"/>
    <w:rsid w:val="00386233"/>
    <w:rsid w:val="0038724C"/>
    <w:rsid w:val="00390A2C"/>
    <w:rsid w:val="00392014"/>
    <w:rsid w:val="003C3843"/>
    <w:rsid w:val="003E4726"/>
    <w:rsid w:val="003F2834"/>
    <w:rsid w:val="003F7AA8"/>
    <w:rsid w:val="00420DDD"/>
    <w:rsid w:val="00422355"/>
    <w:rsid w:val="00425DB4"/>
    <w:rsid w:val="0042613E"/>
    <w:rsid w:val="0043053A"/>
    <w:rsid w:val="00441E23"/>
    <w:rsid w:val="00444341"/>
    <w:rsid w:val="0044506C"/>
    <w:rsid w:val="00450C7D"/>
    <w:rsid w:val="00454470"/>
    <w:rsid w:val="004552A6"/>
    <w:rsid w:val="00466CC6"/>
    <w:rsid w:val="00467C0F"/>
    <w:rsid w:val="004723FC"/>
    <w:rsid w:val="00480D9A"/>
    <w:rsid w:val="00483858"/>
    <w:rsid w:val="004902C8"/>
    <w:rsid w:val="004910D3"/>
    <w:rsid w:val="00493B81"/>
    <w:rsid w:val="004945A4"/>
    <w:rsid w:val="004A39FF"/>
    <w:rsid w:val="004A5BAD"/>
    <w:rsid w:val="004C0295"/>
    <w:rsid w:val="004C2C50"/>
    <w:rsid w:val="004D17BE"/>
    <w:rsid w:val="004D5DB9"/>
    <w:rsid w:val="004F5164"/>
    <w:rsid w:val="00513A15"/>
    <w:rsid w:val="005162D5"/>
    <w:rsid w:val="0052086B"/>
    <w:rsid w:val="00525D49"/>
    <w:rsid w:val="0052766A"/>
    <w:rsid w:val="005325A9"/>
    <w:rsid w:val="005352A4"/>
    <w:rsid w:val="00550CE7"/>
    <w:rsid w:val="0055552F"/>
    <w:rsid w:val="00555862"/>
    <w:rsid w:val="0055749F"/>
    <w:rsid w:val="00562122"/>
    <w:rsid w:val="005644AB"/>
    <w:rsid w:val="00564A17"/>
    <w:rsid w:val="00571DA2"/>
    <w:rsid w:val="005769F6"/>
    <w:rsid w:val="00585D9F"/>
    <w:rsid w:val="00586135"/>
    <w:rsid w:val="005861F8"/>
    <w:rsid w:val="0059661A"/>
    <w:rsid w:val="00596855"/>
    <w:rsid w:val="005A3A39"/>
    <w:rsid w:val="005C4266"/>
    <w:rsid w:val="005D05A3"/>
    <w:rsid w:val="005D3B34"/>
    <w:rsid w:val="005E1C72"/>
    <w:rsid w:val="005F2B31"/>
    <w:rsid w:val="006012B6"/>
    <w:rsid w:val="00605992"/>
    <w:rsid w:val="006101D1"/>
    <w:rsid w:val="006119D2"/>
    <w:rsid w:val="006132F6"/>
    <w:rsid w:val="00613F9E"/>
    <w:rsid w:val="00615E0B"/>
    <w:rsid w:val="00616380"/>
    <w:rsid w:val="0063615A"/>
    <w:rsid w:val="006402AE"/>
    <w:rsid w:val="006579C7"/>
    <w:rsid w:val="00657EAD"/>
    <w:rsid w:val="006845F2"/>
    <w:rsid w:val="00685F04"/>
    <w:rsid w:val="00686D74"/>
    <w:rsid w:val="006940BB"/>
    <w:rsid w:val="00694E9F"/>
    <w:rsid w:val="006979B2"/>
    <w:rsid w:val="006A3FA5"/>
    <w:rsid w:val="006A5AB0"/>
    <w:rsid w:val="006B04A2"/>
    <w:rsid w:val="006B1485"/>
    <w:rsid w:val="006B1D77"/>
    <w:rsid w:val="006B3F1C"/>
    <w:rsid w:val="006E19C6"/>
    <w:rsid w:val="007013CA"/>
    <w:rsid w:val="00703ECE"/>
    <w:rsid w:val="0071564C"/>
    <w:rsid w:val="00716EF4"/>
    <w:rsid w:val="00721AC0"/>
    <w:rsid w:val="00722088"/>
    <w:rsid w:val="00723C90"/>
    <w:rsid w:val="00726371"/>
    <w:rsid w:val="00731A1C"/>
    <w:rsid w:val="00731EBC"/>
    <w:rsid w:val="0075108F"/>
    <w:rsid w:val="00751B6B"/>
    <w:rsid w:val="00754357"/>
    <w:rsid w:val="0075461B"/>
    <w:rsid w:val="00762EA2"/>
    <w:rsid w:val="00763261"/>
    <w:rsid w:val="00766866"/>
    <w:rsid w:val="00775CBC"/>
    <w:rsid w:val="007774C3"/>
    <w:rsid w:val="00780883"/>
    <w:rsid w:val="0078120B"/>
    <w:rsid w:val="007861FB"/>
    <w:rsid w:val="00793570"/>
    <w:rsid w:val="00796F4E"/>
    <w:rsid w:val="007A22E0"/>
    <w:rsid w:val="007A3675"/>
    <w:rsid w:val="007A408C"/>
    <w:rsid w:val="007A6830"/>
    <w:rsid w:val="007C57A8"/>
    <w:rsid w:val="007D086D"/>
    <w:rsid w:val="007D2559"/>
    <w:rsid w:val="007D7B09"/>
    <w:rsid w:val="007E795E"/>
    <w:rsid w:val="007F1060"/>
    <w:rsid w:val="007F2C0C"/>
    <w:rsid w:val="007F697F"/>
    <w:rsid w:val="00801038"/>
    <w:rsid w:val="00804188"/>
    <w:rsid w:val="00804D02"/>
    <w:rsid w:val="008073B1"/>
    <w:rsid w:val="00813852"/>
    <w:rsid w:val="00815B24"/>
    <w:rsid w:val="008238E2"/>
    <w:rsid w:val="008310C5"/>
    <w:rsid w:val="00833567"/>
    <w:rsid w:val="008339EC"/>
    <w:rsid w:val="0084371C"/>
    <w:rsid w:val="008448B8"/>
    <w:rsid w:val="0085086F"/>
    <w:rsid w:val="0085234C"/>
    <w:rsid w:val="00852838"/>
    <w:rsid w:val="008573B4"/>
    <w:rsid w:val="00872C2E"/>
    <w:rsid w:val="00873824"/>
    <w:rsid w:val="00873FF3"/>
    <w:rsid w:val="00875C4A"/>
    <w:rsid w:val="00880FB1"/>
    <w:rsid w:val="00887B81"/>
    <w:rsid w:val="0089666E"/>
    <w:rsid w:val="008A4266"/>
    <w:rsid w:val="008A6AF6"/>
    <w:rsid w:val="008C3943"/>
    <w:rsid w:val="008D0790"/>
    <w:rsid w:val="00913F42"/>
    <w:rsid w:val="009149B2"/>
    <w:rsid w:val="00920C01"/>
    <w:rsid w:val="00937904"/>
    <w:rsid w:val="00940DF7"/>
    <w:rsid w:val="0094496B"/>
    <w:rsid w:val="00950FF7"/>
    <w:rsid w:val="009759BE"/>
    <w:rsid w:val="00976C41"/>
    <w:rsid w:val="00977467"/>
    <w:rsid w:val="00982C83"/>
    <w:rsid w:val="00993651"/>
    <w:rsid w:val="00995757"/>
    <w:rsid w:val="009A3177"/>
    <w:rsid w:val="009B0629"/>
    <w:rsid w:val="009B1641"/>
    <w:rsid w:val="009B240A"/>
    <w:rsid w:val="009D3DFA"/>
    <w:rsid w:val="009D3F1A"/>
    <w:rsid w:val="009D6FBD"/>
    <w:rsid w:val="009D7955"/>
    <w:rsid w:val="009F10BD"/>
    <w:rsid w:val="00A05E59"/>
    <w:rsid w:val="00A11DFB"/>
    <w:rsid w:val="00A12935"/>
    <w:rsid w:val="00A15996"/>
    <w:rsid w:val="00A3690D"/>
    <w:rsid w:val="00A413F7"/>
    <w:rsid w:val="00A4383F"/>
    <w:rsid w:val="00A5582E"/>
    <w:rsid w:val="00A608E3"/>
    <w:rsid w:val="00A609BA"/>
    <w:rsid w:val="00A61B5A"/>
    <w:rsid w:val="00A66FBF"/>
    <w:rsid w:val="00A67E08"/>
    <w:rsid w:val="00A7602F"/>
    <w:rsid w:val="00A8011D"/>
    <w:rsid w:val="00A865E0"/>
    <w:rsid w:val="00A91873"/>
    <w:rsid w:val="00A9408B"/>
    <w:rsid w:val="00A9665D"/>
    <w:rsid w:val="00A97E13"/>
    <w:rsid w:val="00A97EB4"/>
    <w:rsid w:val="00AA478B"/>
    <w:rsid w:val="00AB19DC"/>
    <w:rsid w:val="00AC1ED6"/>
    <w:rsid w:val="00AD24F6"/>
    <w:rsid w:val="00AD58F9"/>
    <w:rsid w:val="00AD60A8"/>
    <w:rsid w:val="00AE4376"/>
    <w:rsid w:val="00AF1895"/>
    <w:rsid w:val="00B0303A"/>
    <w:rsid w:val="00B04376"/>
    <w:rsid w:val="00B05414"/>
    <w:rsid w:val="00B103CF"/>
    <w:rsid w:val="00B12E14"/>
    <w:rsid w:val="00B37AD9"/>
    <w:rsid w:val="00B63378"/>
    <w:rsid w:val="00B672F8"/>
    <w:rsid w:val="00B674A4"/>
    <w:rsid w:val="00B719B9"/>
    <w:rsid w:val="00B768C0"/>
    <w:rsid w:val="00B83680"/>
    <w:rsid w:val="00B87DBC"/>
    <w:rsid w:val="00B9084A"/>
    <w:rsid w:val="00B928B7"/>
    <w:rsid w:val="00B96B3E"/>
    <w:rsid w:val="00B96BFC"/>
    <w:rsid w:val="00B96E94"/>
    <w:rsid w:val="00B97C99"/>
    <w:rsid w:val="00BA0967"/>
    <w:rsid w:val="00BA195D"/>
    <w:rsid w:val="00BA76A4"/>
    <w:rsid w:val="00BC1CAD"/>
    <w:rsid w:val="00BD0DFB"/>
    <w:rsid w:val="00BD25A6"/>
    <w:rsid w:val="00BD7D97"/>
    <w:rsid w:val="00BF6BEE"/>
    <w:rsid w:val="00C02CA3"/>
    <w:rsid w:val="00C035F3"/>
    <w:rsid w:val="00C063C1"/>
    <w:rsid w:val="00C305E0"/>
    <w:rsid w:val="00C377C4"/>
    <w:rsid w:val="00C37C3E"/>
    <w:rsid w:val="00C429DA"/>
    <w:rsid w:val="00C467FF"/>
    <w:rsid w:val="00C53648"/>
    <w:rsid w:val="00C54E1D"/>
    <w:rsid w:val="00C57064"/>
    <w:rsid w:val="00C61118"/>
    <w:rsid w:val="00C62B8C"/>
    <w:rsid w:val="00C650A0"/>
    <w:rsid w:val="00C654A7"/>
    <w:rsid w:val="00C80B60"/>
    <w:rsid w:val="00C843B8"/>
    <w:rsid w:val="00C86638"/>
    <w:rsid w:val="00C94FCF"/>
    <w:rsid w:val="00CA4833"/>
    <w:rsid w:val="00CA4937"/>
    <w:rsid w:val="00CA6ED7"/>
    <w:rsid w:val="00CC7157"/>
    <w:rsid w:val="00CD6C0C"/>
    <w:rsid w:val="00CF67E1"/>
    <w:rsid w:val="00D00CD9"/>
    <w:rsid w:val="00D10D86"/>
    <w:rsid w:val="00D131DA"/>
    <w:rsid w:val="00D23AA4"/>
    <w:rsid w:val="00D23BE9"/>
    <w:rsid w:val="00D3163D"/>
    <w:rsid w:val="00D4621E"/>
    <w:rsid w:val="00D46CEC"/>
    <w:rsid w:val="00D60194"/>
    <w:rsid w:val="00D62231"/>
    <w:rsid w:val="00D63A2F"/>
    <w:rsid w:val="00D65F4C"/>
    <w:rsid w:val="00D76F14"/>
    <w:rsid w:val="00D7770B"/>
    <w:rsid w:val="00DA2286"/>
    <w:rsid w:val="00DA252C"/>
    <w:rsid w:val="00DC164B"/>
    <w:rsid w:val="00DC22DF"/>
    <w:rsid w:val="00DC247D"/>
    <w:rsid w:val="00DC2592"/>
    <w:rsid w:val="00DC79CE"/>
    <w:rsid w:val="00DD5E6D"/>
    <w:rsid w:val="00DE4CD6"/>
    <w:rsid w:val="00DE663E"/>
    <w:rsid w:val="00DF34A9"/>
    <w:rsid w:val="00E00E31"/>
    <w:rsid w:val="00E041C1"/>
    <w:rsid w:val="00E04D7E"/>
    <w:rsid w:val="00E11AF7"/>
    <w:rsid w:val="00E17F67"/>
    <w:rsid w:val="00E24A49"/>
    <w:rsid w:val="00E3268D"/>
    <w:rsid w:val="00E512B6"/>
    <w:rsid w:val="00E5504C"/>
    <w:rsid w:val="00E5799C"/>
    <w:rsid w:val="00E61ABB"/>
    <w:rsid w:val="00E67A7E"/>
    <w:rsid w:val="00E71ACF"/>
    <w:rsid w:val="00E761F8"/>
    <w:rsid w:val="00E851AB"/>
    <w:rsid w:val="00E86FE8"/>
    <w:rsid w:val="00E90BDF"/>
    <w:rsid w:val="00E97CD7"/>
    <w:rsid w:val="00EA0C9C"/>
    <w:rsid w:val="00EB3876"/>
    <w:rsid w:val="00EB7E62"/>
    <w:rsid w:val="00EC4185"/>
    <w:rsid w:val="00EC6AC5"/>
    <w:rsid w:val="00EC7043"/>
    <w:rsid w:val="00EE65F9"/>
    <w:rsid w:val="00EF43AA"/>
    <w:rsid w:val="00F006D8"/>
    <w:rsid w:val="00F14E51"/>
    <w:rsid w:val="00F23F96"/>
    <w:rsid w:val="00F322ED"/>
    <w:rsid w:val="00F3580B"/>
    <w:rsid w:val="00F4692C"/>
    <w:rsid w:val="00F514A6"/>
    <w:rsid w:val="00F54538"/>
    <w:rsid w:val="00F605CA"/>
    <w:rsid w:val="00F71749"/>
    <w:rsid w:val="00F82342"/>
    <w:rsid w:val="00F87262"/>
    <w:rsid w:val="00F874DD"/>
    <w:rsid w:val="00F94BA4"/>
    <w:rsid w:val="00FB231D"/>
    <w:rsid w:val="00FB68BC"/>
    <w:rsid w:val="00FC4ED2"/>
    <w:rsid w:val="00FC788A"/>
    <w:rsid w:val="00FD7E92"/>
    <w:rsid w:val="00FE34E8"/>
    <w:rsid w:val="00FE517B"/>
    <w:rsid w:val="00FF1489"/>
    <w:rsid w:val="00FF7D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03EE"/>
  <w15:chartTrackingRefBased/>
  <w15:docId w15:val="{805A437F-BE36-4A6D-AE13-E8B2F2020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7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71D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1D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1D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1D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1D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1D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1D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1D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71D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71D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1D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1D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1D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1D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1D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1DA2"/>
    <w:rPr>
      <w:rFonts w:eastAsiaTheme="majorEastAsia" w:cstheme="majorBidi"/>
      <w:color w:val="272727" w:themeColor="text1" w:themeTint="D8"/>
    </w:rPr>
  </w:style>
  <w:style w:type="paragraph" w:styleId="Titre">
    <w:name w:val="Title"/>
    <w:basedOn w:val="Normal"/>
    <w:next w:val="Normal"/>
    <w:link w:val="TitreCar"/>
    <w:uiPriority w:val="10"/>
    <w:qFormat/>
    <w:rsid w:val="00571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1D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1D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1D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1DA2"/>
    <w:pPr>
      <w:spacing w:before="160"/>
      <w:jc w:val="center"/>
    </w:pPr>
    <w:rPr>
      <w:i/>
      <w:iCs/>
      <w:color w:val="404040" w:themeColor="text1" w:themeTint="BF"/>
    </w:rPr>
  </w:style>
  <w:style w:type="character" w:customStyle="1" w:styleId="CitationCar">
    <w:name w:val="Citation Car"/>
    <w:basedOn w:val="Policepardfaut"/>
    <w:link w:val="Citation"/>
    <w:uiPriority w:val="29"/>
    <w:rsid w:val="00571DA2"/>
    <w:rPr>
      <w:i/>
      <w:iCs/>
      <w:color w:val="404040" w:themeColor="text1" w:themeTint="BF"/>
    </w:rPr>
  </w:style>
  <w:style w:type="paragraph" w:styleId="Paragraphedeliste">
    <w:name w:val="List Paragraph"/>
    <w:basedOn w:val="Normal"/>
    <w:uiPriority w:val="34"/>
    <w:qFormat/>
    <w:rsid w:val="00571DA2"/>
    <w:pPr>
      <w:ind w:left="720"/>
      <w:contextualSpacing/>
    </w:pPr>
  </w:style>
  <w:style w:type="character" w:styleId="Accentuationintense">
    <w:name w:val="Intense Emphasis"/>
    <w:basedOn w:val="Policepardfaut"/>
    <w:uiPriority w:val="21"/>
    <w:qFormat/>
    <w:rsid w:val="00571DA2"/>
    <w:rPr>
      <w:i/>
      <w:iCs/>
      <w:color w:val="0F4761" w:themeColor="accent1" w:themeShade="BF"/>
    </w:rPr>
  </w:style>
  <w:style w:type="paragraph" w:styleId="Citationintense">
    <w:name w:val="Intense Quote"/>
    <w:basedOn w:val="Normal"/>
    <w:next w:val="Normal"/>
    <w:link w:val="CitationintenseCar"/>
    <w:uiPriority w:val="30"/>
    <w:qFormat/>
    <w:rsid w:val="0057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1DA2"/>
    <w:rPr>
      <w:i/>
      <w:iCs/>
      <w:color w:val="0F4761" w:themeColor="accent1" w:themeShade="BF"/>
    </w:rPr>
  </w:style>
  <w:style w:type="character" w:styleId="Rfrenceintense">
    <w:name w:val="Intense Reference"/>
    <w:basedOn w:val="Policepardfaut"/>
    <w:uiPriority w:val="32"/>
    <w:qFormat/>
    <w:rsid w:val="00571DA2"/>
    <w:rPr>
      <w:b/>
      <w:bCs/>
      <w:smallCaps/>
      <w:color w:val="0F4761" w:themeColor="accent1" w:themeShade="BF"/>
      <w:spacing w:val="5"/>
    </w:rPr>
  </w:style>
  <w:style w:type="character" w:styleId="Lienhypertexte">
    <w:name w:val="Hyperlink"/>
    <w:basedOn w:val="Policepardfaut"/>
    <w:uiPriority w:val="99"/>
    <w:unhideWhenUsed/>
    <w:rsid w:val="001E6D1D"/>
    <w:rPr>
      <w:color w:val="467886" w:themeColor="hyperlink"/>
      <w:u w:val="single"/>
    </w:rPr>
  </w:style>
  <w:style w:type="character" w:styleId="Mentionnonrsolue">
    <w:name w:val="Unresolved Mention"/>
    <w:basedOn w:val="Policepardfaut"/>
    <w:uiPriority w:val="99"/>
    <w:semiHidden/>
    <w:unhideWhenUsed/>
    <w:rsid w:val="001E6D1D"/>
    <w:rPr>
      <w:color w:val="605E5C"/>
      <w:shd w:val="clear" w:color="auto" w:fill="E1DFDD"/>
    </w:rPr>
  </w:style>
  <w:style w:type="paragraph" w:styleId="Bibliographie">
    <w:name w:val="Bibliography"/>
    <w:basedOn w:val="Normal"/>
    <w:next w:val="Normal"/>
    <w:uiPriority w:val="37"/>
    <w:unhideWhenUsed/>
    <w:rsid w:val="009B240A"/>
    <w:pPr>
      <w:tabs>
        <w:tab w:val="left" w:pos="504"/>
      </w:tabs>
      <w:spacing w:after="240" w:line="240" w:lineRule="auto"/>
      <w:ind w:left="504" w:hanging="504"/>
    </w:pPr>
  </w:style>
  <w:style w:type="table" w:styleId="TableauListe6Couleur">
    <w:name w:val="List Table 6 Colorful"/>
    <w:basedOn w:val="TableauNormal"/>
    <w:uiPriority w:val="51"/>
    <w:rsid w:val="0075108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D23AA4"/>
    <w:rPr>
      <w:rFonts w:ascii="Times New Roman" w:hAnsi="Times New Roman" w:cs="Times New Roman"/>
      <w:sz w:val="24"/>
      <w:szCs w:val="24"/>
    </w:rPr>
  </w:style>
  <w:style w:type="paragraph" w:styleId="En-tte">
    <w:name w:val="header"/>
    <w:basedOn w:val="Normal"/>
    <w:link w:val="En-tteCar"/>
    <w:uiPriority w:val="99"/>
    <w:unhideWhenUsed/>
    <w:rsid w:val="00F71749"/>
    <w:pPr>
      <w:tabs>
        <w:tab w:val="center" w:pos="4536"/>
        <w:tab w:val="right" w:pos="9072"/>
      </w:tabs>
      <w:spacing w:after="0" w:line="240" w:lineRule="auto"/>
    </w:pPr>
  </w:style>
  <w:style w:type="character" w:customStyle="1" w:styleId="En-tteCar">
    <w:name w:val="En-tête Car"/>
    <w:basedOn w:val="Policepardfaut"/>
    <w:link w:val="En-tte"/>
    <w:uiPriority w:val="99"/>
    <w:rsid w:val="00F71749"/>
  </w:style>
  <w:style w:type="paragraph" w:styleId="Pieddepage">
    <w:name w:val="footer"/>
    <w:basedOn w:val="Normal"/>
    <w:link w:val="PieddepageCar"/>
    <w:uiPriority w:val="99"/>
    <w:unhideWhenUsed/>
    <w:rsid w:val="00F7174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71749"/>
  </w:style>
  <w:style w:type="table" w:styleId="Grilledutableau">
    <w:name w:val="Table Grid"/>
    <w:basedOn w:val="TableauNormal"/>
    <w:uiPriority w:val="39"/>
    <w:rsid w:val="00F717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C54E1D"/>
    <w:pPr>
      <w:spacing w:after="200" w:line="240" w:lineRule="auto"/>
    </w:pPr>
    <w:rPr>
      <w:i/>
      <w:iCs/>
      <w:color w:val="0E2841" w:themeColor="text2"/>
      <w:sz w:val="18"/>
      <w:szCs w:val="18"/>
    </w:rPr>
  </w:style>
  <w:style w:type="character" w:customStyle="1" w:styleId="VerbatimChar">
    <w:name w:val="Verbatim Char"/>
    <w:basedOn w:val="Policepardfaut"/>
    <w:link w:val="SourceCode"/>
    <w:rsid w:val="00686D74"/>
    <w:rPr>
      <w:rFonts w:ascii="Consolas" w:hAnsi="Consolas"/>
      <w:shd w:val="clear" w:color="auto" w:fill="F8F8F8"/>
    </w:rPr>
  </w:style>
  <w:style w:type="paragraph" w:customStyle="1" w:styleId="SourceCode">
    <w:name w:val="Source Code"/>
    <w:basedOn w:val="Normal"/>
    <w:link w:val="VerbatimChar"/>
    <w:rsid w:val="00686D74"/>
    <w:pPr>
      <w:shd w:val="clear" w:color="auto" w:fill="F8F8F8"/>
      <w:wordWrap w:val="0"/>
      <w:spacing w:after="200" w:line="240" w:lineRule="auto"/>
    </w:pPr>
    <w:rPr>
      <w:rFonts w:ascii="Consolas" w:hAnsi="Consolas"/>
    </w:rPr>
  </w:style>
  <w:style w:type="character" w:customStyle="1" w:styleId="DecValTok">
    <w:name w:val="DecValTok"/>
    <w:basedOn w:val="VerbatimChar"/>
    <w:rsid w:val="00686D74"/>
    <w:rPr>
      <w:rFonts w:ascii="Consolas" w:hAnsi="Consolas"/>
      <w:color w:val="0000CF"/>
      <w:shd w:val="clear" w:color="auto" w:fill="F8F8F8"/>
    </w:rPr>
  </w:style>
  <w:style w:type="character" w:customStyle="1" w:styleId="ConstantTok">
    <w:name w:val="ConstantTok"/>
    <w:basedOn w:val="VerbatimChar"/>
    <w:rsid w:val="00686D74"/>
    <w:rPr>
      <w:rFonts w:ascii="Consolas" w:hAnsi="Consolas"/>
      <w:color w:val="8F5902"/>
      <w:shd w:val="clear" w:color="auto" w:fill="F8F8F8"/>
    </w:rPr>
  </w:style>
  <w:style w:type="character" w:customStyle="1" w:styleId="SpecialCharTok">
    <w:name w:val="SpecialCharTok"/>
    <w:basedOn w:val="VerbatimChar"/>
    <w:rsid w:val="00686D74"/>
    <w:rPr>
      <w:rFonts w:ascii="Consolas" w:hAnsi="Consolas"/>
      <w:b/>
      <w:color w:val="CE5C00"/>
      <w:shd w:val="clear" w:color="auto" w:fill="F8F8F8"/>
    </w:rPr>
  </w:style>
  <w:style w:type="character" w:customStyle="1" w:styleId="StringTok">
    <w:name w:val="StringTok"/>
    <w:basedOn w:val="VerbatimChar"/>
    <w:rsid w:val="00686D74"/>
    <w:rPr>
      <w:rFonts w:ascii="Consolas" w:hAnsi="Consolas"/>
      <w:color w:val="4E9A06"/>
      <w:shd w:val="clear" w:color="auto" w:fill="F8F8F8"/>
    </w:rPr>
  </w:style>
  <w:style w:type="character" w:customStyle="1" w:styleId="OtherTok">
    <w:name w:val="OtherTok"/>
    <w:basedOn w:val="VerbatimChar"/>
    <w:rsid w:val="00686D74"/>
    <w:rPr>
      <w:rFonts w:ascii="Consolas" w:hAnsi="Consolas"/>
      <w:color w:val="8F5902"/>
      <w:shd w:val="clear" w:color="auto" w:fill="F8F8F8"/>
    </w:rPr>
  </w:style>
  <w:style w:type="character" w:customStyle="1" w:styleId="FunctionTok">
    <w:name w:val="FunctionTok"/>
    <w:basedOn w:val="VerbatimChar"/>
    <w:rsid w:val="00686D74"/>
    <w:rPr>
      <w:rFonts w:ascii="Consolas" w:hAnsi="Consolas"/>
      <w:b/>
      <w:color w:val="204A87"/>
      <w:shd w:val="clear" w:color="auto" w:fill="F8F8F8"/>
    </w:rPr>
  </w:style>
  <w:style w:type="character" w:customStyle="1" w:styleId="AttributeTok">
    <w:name w:val="AttributeTok"/>
    <w:basedOn w:val="VerbatimChar"/>
    <w:rsid w:val="00686D74"/>
    <w:rPr>
      <w:rFonts w:ascii="Consolas" w:hAnsi="Consolas"/>
      <w:color w:val="204A87"/>
      <w:shd w:val="clear" w:color="auto" w:fill="F8F8F8"/>
    </w:rPr>
  </w:style>
  <w:style w:type="character" w:customStyle="1" w:styleId="NormalTok">
    <w:name w:val="NormalTok"/>
    <w:basedOn w:val="VerbatimChar"/>
    <w:rsid w:val="00686D74"/>
    <w:rPr>
      <w:rFonts w:ascii="Consolas" w:hAnsi="Consolas"/>
      <w:shd w:val="clear" w:color="auto" w:fill="F8F8F8"/>
    </w:rPr>
  </w:style>
  <w:style w:type="paragraph" w:styleId="TM1">
    <w:name w:val="toc 1"/>
    <w:basedOn w:val="Normal"/>
    <w:next w:val="Normal"/>
    <w:autoRedefine/>
    <w:uiPriority w:val="39"/>
    <w:unhideWhenUsed/>
    <w:rsid w:val="00A11DFB"/>
    <w:pPr>
      <w:spacing w:after="100"/>
    </w:pPr>
  </w:style>
  <w:style w:type="paragraph" w:styleId="TM2">
    <w:name w:val="toc 2"/>
    <w:basedOn w:val="Normal"/>
    <w:next w:val="Normal"/>
    <w:autoRedefine/>
    <w:uiPriority w:val="39"/>
    <w:unhideWhenUsed/>
    <w:rsid w:val="00A11DFB"/>
    <w:pPr>
      <w:spacing w:after="100"/>
      <w:ind w:left="220"/>
    </w:pPr>
  </w:style>
  <w:style w:type="paragraph" w:styleId="TM3">
    <w:name w:val="toc 3"/>
    <w:basedOn w:val="Normal"/>
    <w:next w:val="Normal"/>
    <w:autoRedefine/>
    <w:uiPriority w:val="39"/>
    <w:unhideWhenUsed/>
    <w:rsid w:val="00A11DF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58810">
      <w:bodyDiv w:val="1"/>
      <w:marLeft w:val="0"/>
      <w:marRight w:val="0"/>
      <w:marTop w:val="0"/>
      <w:marBottom w:val="0"/>
      <w:divBdr>
        <w:top w:val="none" w:sz="0" w:space="0" w:color="auto"/>
        <w:left w:val="none" w:sz="0" w:space="0" w:color="auto"/>
        <w:bottom w:val="none" w:sz="0" w:space="0" w:color="auto"/>
        <w:right w:val="none" w:sz="0" w:space="0" w:color="auto"/>
      </w:divBdr>
    </w:div>
    <w:div w:id="108522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ippy24/ts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hNRSjC0ZatpdfoO93LdyvvbRsLurZ5oe/view?usp=sharing"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37CD644-491B-48D2-9489-6668D20E4199}">
  <we:reference id="wa200007708" version="1.3.1.0" store="fr-FR"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E319509-DB7A-45EA-A475-77C6B06D6604}">
  <we:reference id="wa200005826" version="1.9.0.0" store="fr-FR" storeType="OMEX"/>
  <we:alternateReferences>
    <we:reference id="wa200005826" version="1.9.0.0" store="wa200005826"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DE095B0-C975-4724-A0F2-31C783B72EE2}">
  <we:reference id="wa104382081" version="1.55.1.0" store="fr-FR"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4171E-EB7E-474F-97E6-536235293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12172</Words>
  <Characters>66952</Characters>
  <Application>Microsoft Office Word</Application>
  <DocSecurity>0</DocSecurity>
  <Lines>557</Lines>
  <Paragraphs>157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Hippolyte ADECHIAN</dc:creator>
  <cp:keywords/>
  <dc:description/>
  <cp:lastModifiedBy>Hippolyte ADECHIAN</cp:lastModifiedBy>
  <cp:revision>3</cp:revision>
  <cp:lastPrinted>2026-02-07T21:02:00Z</cp:lastPrinted>
  <dcterms:created xsi:type="dcterms:W3CDTF">2026-06-06T06:23:00Z</dcterms:created>
  <dcterms:modified xsi:type="dcterms:W3CDTF">2026-06-06T06:24:00Z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id="aQNC9omR"/&gt;&lt;style id="http://www.zotero.org/styles/nlm-citation-sequence-brackets" locale="fr-FR" hasBibliography="1" bibliographyStyleHasBeenSet="1"/&gt;&lt;prefs&gt;&lt;pref name="fieldType" value="Field"/&gt;</vt:lpwstr>
  </property>
  <property fmtid="{D5CDD505-2E9C-101B-9397-08002B2CF9AE}" pid="3" name="ZOTERO_PREF_2">
    <vt:lpwstr>&lt;pref name="automaticJournalAbbreviations" value="true"/&gt;&lt;/prefs&gt;&lt;/data&gt;</vt:lpwstr>
  </property>
</Properties>
</file>