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“Health impacts of Ambient Air Pollution in South Asia: current status, challenges, and future directions”</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 Saif, S. Ali, Z. Azam</w:t>
      </w:r>
    </w:p>
    <w:p w:rsidR="00000000" w:rsidDel="00000000" w:rsidP="00000000" w:rsidRDefault="00000000" w:rsidRPr="00000000" w14:paraId="00000005">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Institute of Environmental Sciences and Engineering, Nust, Pakistan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e2e2e"/>
          <w:sz w:val="24"/>
          <w:szCs w:val="24"/>
          <w:rtl w:val="0"/>
        </w:rPr>
        <w:t xml:space="preserve">Air pollution is recognized as the fourth largest global risk factor for mortality. Similarly,</w:t>
      </w:r>
      <w:r w:rsidDel="00000000" w:rsidR="00000000" w:rsidRPr="00000000">
        <w:rPr>
          <w:rFonts w:ascii="Times New Roman" w:cs="Times New Roman" w:eastAsia="Times New Roman" w:hAnsi="Times New Roman"/>
          <w:color w:val="4c4d4f"/>
          <w:sz w:val="24"/>
          <w:szCs w:val="24"/>
          <w:rtl w:val="0"/>
        </w:rPr>
        <w:t xml:space="preserve"> ambient particulate matter pollution is a significant cause of premature death and ill health worldwide. </w:t>
      </w:r>
      <w:r w:rsidDel="00000000" w:rsidR="00000000" w:rsidRPr="00000000">
        <w:rPr>
          <w:rFonts w:ascii="Times New Roman" w:cs="Times New Roman" w:eastAsia="Times New Roman" w:hAnsi="Times New Roman"/>
          <w:color w:val="2e2e2e"/>
          <w:sz w:val="24"/>
          <w:szCs w:val="24"/>
          <w:rtl w:val="0"/>
        </w:rPr>
        <w:t xml:space="preserve"> The elevated level of air pollutants and their long-term exposure increases the susceptibility to several chronic/acute diseases. In recent years, cities in India and Pakistan have been highlighted alternatively as the cities with the worst air quality during winter smog episodes. </w:t>
      </w:r>
      <w:r w:rsidDel="00000000" w:rsidR="00000000" w:rsidRPr="00000000">
        <w:rPr>
          <w:rFonts w:ascii="Times New Roman" w:cs="Times New Roman" w:eastAsia="Times New Roman" w:hAnsi="Times New Roman"/>
          <w:color w:val="4c4d4f"/>
          <w:sz w:val="24"/>
          <w:szCs w:val="24"/>
          <w:rtl w:val="0"/>
        </w:rPr>
        <w:t xml:space="preserve">Considering the severity of the issue and fragmented research carried out in South Asia, this review paper aims to address the burden of disease attributable to air pollution. </w:t>
      </w:r>
      <w:r w:rsidDel="00000000" w:rsidR="00000000" w:rsidRPr="00000000">
        <w:rPr>
          <w:rFonts w:ascii="Times New Roman" w:cs="Times New Roman" w:eastAsia="Times New Roman" w:hAnsi="Times New Roman"/>
          <w:color w:val="333333"/>
          <w:sz w:val="24"/>
          <w:szCs w:val="24"/>
          <w:highlight w:val="white"/>
          <w:rtl w:val="0"/>
        </w:rPr>
        <w:t xml:space="preserve">Diseases such as lower respiratory infection, Ischaemic heart disease, stroke, chronic obstructive pulmonary disease, and diabetes type 2 are increasing the burden of disease in South Asia. </w:t>
      </w:r>
      <w:r w:rsidDel="00000000" w:rsidR="00000000" w:rsidRPr="00000000">
        <w:rPr>
          <w:rFonts w:ascii="Times New Roman" w:cs="Times New Roman" w:eastAsia="Times New Roman" w:hAnsi="Times New Roman"/>
          <w:color w:val="4c4d4f"/>
          <w:sz w:val="24"/>
          <w:szCs w:val="24"/>
          <w:rtl w:val="0"/>
        </w:rPr>
        <w:t xml:space="preserve">Policy gaps are also identified in the study.  The current review will help in improving the public health of south Asian countries.</w:t>
      </w:r>
      <w:r w:rsidDel="00000000" w:rsidR="00000000" w:rsidRPr="00000000">
        <w:rPr>
          <w:rFonts w:ascii="Times New Roman" w:cs="Times New Roman" w:eastAsia="Times New Roman" w:hAnsi="Times New Roman"/>
          <w:color w:val="333333"/>
          <w:sz w:val="24"/>
          <w:szCs w:val="24"/>
          <w:highlight w:val="white"/>
          <w:rtl w:val="0"/>
        </w:rPr>
        <w:t xml:space="preserve">T</w:t>
      </w:r>
      <w:r w:rsidDel="00000000" w:rsidR="00000000" w:rsidRPr="00000000">
        <w:rPr>
          <w:rFonts w:ascii="Times New Roman" w:cs="Times New Roman" w:eastAsia="Times New Roman" w:hAnsi="Times New Roman"/>
          <w:color w:val="2e2e2e"/>
          <w:sz w:val="24"/>
          <w:szCs w:val="24"/>
          <w:highlight w:val="white"/>
          <w:rtl w:val="0"/>
        </w:rPr>
        <w:t xml:space="preserve">he study findings suggest that policymakers at the local, national, and regional levels should devise feasible policies by considering all the relevant parameters, including the country's economic status, local meteorological conditions, industrial interests, public lifestyle, and national literacy rate. </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Particulate Matter, Household air pollution, Health Impacts, Air pollution, South Asia, Policy</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Sources of Air Pollution</w:t>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Mortalities (annual) Attributable to Air Pollution </w:t>
      </w:r>
    </w:p>
    <w:p w:rsidR="00000000" w:rsidDel="00000000" w:rsidP="00000000" w:rsidRDefault="00000000" w:rsidRPr="00000000" w14:paraId="00000012">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 Pakistan, Bangladesh, Nepal, Bhutan, Sri Lanka, and the Maldives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Policy structure (directly related to air pollution mitigation i-e Pakistan Clean Air Program</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1527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830"/>
        <w:gridCol w:w="1590"/>
        <w:gridCol w:w="1410"/>
        <w:gridCol w:w="1350"/>
        <w:gridCol w:w="4065"/>
        <w:gridCol w:w="1755"/>
        <w:gridCol w:w="1695"/>
        <w:tblGridChange w:id="0">
          <w:tblGrid>
            <w:gridCol w:w="1575"/>
            <w:gridCol w:w="1830"/>
            <w:gridCol w:w="1590"/>
            <w:gridCol w:w="1410"/>
            <w:gridCol w:w="1350"/>
            <w:gridCol w:w="4065"/>
            <w:gridCol w:w="1755"/>
            <w:gridCol w:w="169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Sampling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Pollutants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Impacts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Salt Range, Kallar Kahar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Mortalities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Incidence (per 100000 pop.)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(Nasir et al., 2022)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due to Lung Cancer in adults age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due to Lung Cancer in adults age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All-cause of mortality in adults age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Neonatal infant mortality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All-cause mortality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Respiratory disease mortality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Islamabad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 Metals bounded to PM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Maximum cancer risk value was observed for children via inhalation of Cd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Children were observed at higher risk compared to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et al., 2020)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Karachi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(Karachi University and Makro)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2009- August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estimated number of deaths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were higher in the fall and winter seasons at the Makro (4329 and 4425) and KU (2739 and 2348) sites. The annual estimates of the expected deaths were 3592 at the Makro site and 1971 at the KU site. Seasons with the highest average PM2.5 concentrations at Makro (winter) and KU (fall)  recorded the highest expected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deaths.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(Moyebi et al., 2023)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(Yamamoto et al., 2014)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 Villages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(Wangchuk et al., 2015)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2005- December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3.2% increase in pneumonia diagnoses per 10 μg/m3 increase in PM2.5 among children under five in urban 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(Sherris et al., 2021)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Short-term exposures to PM2.5 increases the daily number of emergency room visits at a major CVD hospital in Dhaka. The variation in the nutritional status of patients and seasonal variations may play an important role in this association.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et al., 2019)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Air Pollutants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shift from wood to natural liquid gas as a major source of cooking fuel in Bangladesh, the impact of indoor air pollution was assumed to be quite minimal on birth outcomes in comparison to ambient or outdoor air pollution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show a linear increase in prevalence of LBW (Low Birth Weight)  and PTB ( Pre-term birth)with higher exposure to air pollution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(Nahian et al.,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Afghanistan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Lanka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Maldives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Mortalities attributable to Air Pollution in South Asia (WHO)</w:t>
      </w:r>
    </w:p>
    <w:tbl>
      <w:tblPr>
        <w:tblStyle w:val="Table2"/>
        <w:tblW w:w="12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545"/>
        <w:gridCol w:w="2055"/>
        <w:gridCol w:w="1770"/>
        <w:gridCol w:w="1710"/>
        <w:gridCol w:w="1485"/>
        <w:gridCol w:w="2745"/>
        <w:tblGridChange w:id="0">
          <w:tblGrid>
            <w:gridCol w:w="1665"/>
            <w:gridCol w:w="1545"/>
            <w:gridCol w:w="2055"/>
            <w:gridCol w:w="1770"/>
            <w:gridCol w:w="1710"/>
            <w:gridCol w:w="1485"/>
            <w:gridCol w:w="274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 Asian Countries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 respiratory infections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Trachea, bronchus, lung cancers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Ischaemic heart disease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Chronic obstructive pulmonary disease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Afghanistan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Bangladesh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75686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10277</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Bhutan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882638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119117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136976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205557</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Maldives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5323</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20427</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Lanka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1451</w:t>
            </w:r>
          </w:p>
        </w:tc>
      </w:tr>
    </w:tbl>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1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Nasir, A. H., Nawaz, R., Haider, R., &amp; Irshad, M. A. (2022). Modeling Air Pollution Health Risk for Environmental Management of an Internationally Important Site: The Salt Range (Kallar Kahar), Pakistan. </w:t>
      </w:r>
      <w:r w:rsidDel="00000000" w:rsidR="00000000" w:rsidRPr="00000000">
        <w:rPr>
          <w:rFonts w:ascii="Times New Roman" w:cs="Times New Roman" w:eastAsia="Times New Roman" w:hAnsi="Times New Roman"/>
          <w:i w:val="1"/>
          <w:sz w:val="24"/>
          <w:szCs w:val="24"/>
          <w:rtl w:val="0"/>
        </w:rPr>
        <w:t xml:space="preserve">Atmosphere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(1). https://doi.org/10.3390/atmos13010100</w:t>
      </w:r>
    </w:p>
    <w:p w:rsidR="00000000" w:rsidDel="00000000" w:rsidP="00000000" w:rsidRDefault="00000000" w:rsidRPr="00000000" w14:paraId="000001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S. A., Muhammad, S., Nazir, S., &amp; Shah, F. A. (2020). Heavy metals bounded to particulate matter in the residential and industrial sites of Islamabad, Pakistan: Implications for non-cancer and cancer risks: Evaluation of heavy metals bounded to particulate matter for non-cancer and cancer risks. </w:t>
      </w:r>
      <w:r w:rsidDel="00000000" w:rsidR="00000000" w:rsidRPr="00000000">
        <w:rPr>
          <w:rFonts w:ascii="Times New Roman" w:cs="Times New Roman" w:eastAsia="Times New Roman" w:hAnsi="Times New Roman"/>
          <w:i w:val="1"/>
          <w:sz w:val="24"/>
          <w:szCs w:val="24"/>
          <w:rtl w:val="0"/>
        </w:rPr>
        <w:t xml:space="preserve">Environmental Technology and Innovation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https://doi.org/10.1016/j.eti.2020.100822</w:t>
      </w:r>
    </w:p>
    <w:p w:rsidR="00000000" w:rsidDel="00000000" w:rsidP="00000000" w:rsidRDefault="00000000" w:rsidRPr="00000000" w14:paraId="0000011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Moyebi, O. D., Fatmi, Z., Carpenter, D. O., Santoso, M., Siddique, A., Khan, K., Zeb, J., Hussain, M. M., &amp; Khwaja, H. A. (2023). Fine particulate matter and its chemical constituents’ levels: A troubling environmental and human health situation in Karachi, Pakistan. </w:t>
      </w:r>
      <w:r w:rsidDel="00000000" w:rsidR="00000000" w:rsidRPr="00000000">
        <w:rPr>
          <w:rFonts w:ascii="Times New Roman" w:cs="Times New Roman" w:eastAsia="Times New Roman" w:hAnsi="Times New Roman"/>
          <w:i w:val="1"/>
          <w:sz w:val="24"/>
          <w:szCs w:val="24"/>
          <w:rtl w:val="0"/>
        </w:rPr>
        <w:t xml:space="preserve">Science of the Total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868</w:t>
      </w:r>
      <w:r w:rsidDel="00000000" w:rsidR="00000000" w:rsidRPr="00000000">
        <w:rPr>
          <w:rFonts w:ascii="Times New Roman" w:cs="Times New Roman" w:eastAsia="Times New Roman" w:hAnsi="Times New Roman"/>
          <w:sz w:val="24"/>
          <w:szCs w:val="24"/>
          <w:rtl w:val="0"/>
        </w:rPr>
        <w:t xml:space="preserve">. https://doi.org/10.1016/j.scitotenv.2023.161474</w:t>
      </w:r>
    </w:p>
    <w:p w:rsidR="00000000" w:rsidDel="00000000" w:rsidP="00000000" w:rsidRDefault="00000000" w:rsidRPr="00000000" w14:paraId="0000011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Wangchuk, T., Mazaheri, M., Clifford, S., Dudzinska, M. R., He, C., Buonanno, G., &amp; Morawska, L. (2015). Children’s personal exposure to air pollution in rural villages in Bhutan. </w:t>
      </w:r>
      <w:r w:rsidDel="00000000" w:rsidR="00000000" w:rsidRPr="00000000">
        <w:rPr>
          <w:rFonts w:ascii="Times New Roman" w:cs="Times New Roman" w:eastAsia="Times New Roman" w:hAnsi="Times New Roman"/>
          <w:i w:val="1"/>
          <w:sz w:val="24"/>
          <w:szCs w:val="24"/>
          <w:rtl w:val="0"/>
        </w:rPr>
        <w:t xml:space="preserve">Environmental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140</w:t>
      </w:r>
      <w:r w:rsidDel="00000000" w:rsidR="00000000" w:rsidRPr="00000000">
        <w:rPr>
          <w:rFonts w:ascii="Times New Roman" w:cs="Times New Roman" w:eastAsia="Times New Roman" w:hAnsi="Times New Roman"/>
          <w:sz w:val="24"/>
          <w:szCs w:val="24"/>
          <w:rtl w:val="0"/>
        </w:rPr>
        <w:t xml:space="preserve">, 691–698. https://doi.org/10.1016/j.envres.2015.06.006</w:t>
      </w:r>
    </w:p>
    <w:p w:rsidR="00000000" w:rsidDel="00000000" w:rsidP="00000000" w:rsidRDefault="00000000" w:rsidRPr="00000000" w14:paraId="0000011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Sherris, A. R., Begum, B. A., Baiocchi, M., Goswami, D., Hopke, P. K., Brooks, W. A., &amp; Luby, S. P. (2021). Associations between ambient fine particulate matter and child respiratory infection: The role of particulate matter source composition in Dhaka, Bangladesh. </w:t>
      </w:r>
      <w:r w:rsidDel="00000000" w:rsidR="00000000" w:rsidRPr="00000000">
        <w:rPr>
          <w:rFonts w:ascii="Times New Roman" w:cs="Times New Roman" w:eastAsia="Times New Roman" w:hAnsi="Times New Roman"/>
          <w:i w:val="1"/>
          <w:sz w:val="24"/>
          <w:szCs w:val="24"/>
          <w:rtl w:val="0"/>
        </w:rPr>
        <w:t xml:space="preserve">Environmental Pollution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290</w:t>
      </w:r>
      <w:r w:rsidDel="00000000" w:rsidR="00000000" w:rsidRPr="00000000">
        <w:rPr>
          <w:rFonts w:ascii="Times New Roman" w:cs="Times New Roman" w:eastAsia="Times New Roman" w:hAnsi="Times New Roman"/>
          <w:sz w:val="24"/>
          <w:szCs w:val="24"/>
          <w:rtl w:val="0"/>
        </w:rPr>
        <w:t xml:space="preserve">. https://doi.org/10.1016/j.envpol.2021.118073</w:t>
      </w:r>
    </w:p>
    <w:p w:rsidR="00000000" w:rsidDel="00000000" w:rsidP="00000000" w:rsidRDefault="00000000" w:rsidRPr="00000000" w14:paraId="0000011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R., Konishi, S., Ng, C. F. S., Umezaki, M., Kabir, A. F., Tasmin, S., &amp; Watanabe, C. (2019). Association between short-term exposure to fine particulate matter and daily emergency room visits at a cardiovascular hospital in Dhaka, Bangladesh. </w:t>
      </w:r>
      <w:r w:rsidDel="00000000" w:rsidR="00000000" w:rsidRPr="00000000">
        <w:rPr>
          <w:rFonts w:ascii="Times New Roman" w:cs="Times New Roman" w:eastAsia="Times New Roman" w:hAnsi="Times New Roman"/>
          <w:i w:val="1"/>
          <w:sz w:val="24"/>
          <w:szCs w:val="24"/>
          <w:rtl w:val="0"/>
        </w:rPr>
        <w:t xml:space="preserve">Science of the Total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646</w:t>
      </w:r>
      <w:r w:rsidDel="00000000" w:rsidR="00000000" w:rsidRPr="00000000">
        <w:rPr>
          <w:rFonts w:ascii="Times New Roman" w:cs="Times New Roman" w:eastAsia="Times New Roman" w:hAnsi="Times New Roman"/>
          <w:sz w:val="24"/>
          <w:szCs w:val="24"/>
          <w:rtl w:val="0"/>
        </w:rPr>
        <w:t xml:space="preserve">, 1030–1036. https://doi.org/10.1016/j.scitotenv.2018.07.288</w:t>
      </w:r>
    </w:p>
    <w:p w:rsidR="00000000" w:rsidDel="00000000" w:rsidP="00000000" w:rsidRDefault="00000000" w:rsidRPr="00000000" w14:paraId="0000011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Nahian, M. Al, Ahmad, T., Jahan, I., Chakraborty, N., Nahar, Q., &amp; Streatfield, P. K. (2023). Air pollution and pregnancy outcomes in Dhaka, Bangladesh. </w:t>
      </w:r>
      <w:r w:rsidDel="00000000" w:rsidR="00000000" w:rsidRPr="00000000">
        <w:rPr>
          <w:rFonts w:ascii="Times New Roman" w:cs="Times New Roman" w:eastAsia="Times New Roman" w:hAnsi="Times New Roman"/>
          <w:i w:val="1"/>
          <w:sz w:val="24"/>
          <w:szCs w:val="24"/>
          <w:rtl w:val="0"/>
        </w:rPr>
        <w:t xml:space="preserve">The Journal of Climate Change and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100187.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https://doi.org/10.1016/j.joclim.2022.100187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Yamamoto, S. S., Phalkey, R., &amp; Malik, A. A. (2014). A systematic review of air pollution as a risk factor for cardiovascular disease in South Asia: Limited evidence from India and Pakistan. In </w:t>
      </w:r>
      <w:r w:rsidDel="00000000" w:rsidR="00000000" w:rsidRPr="00000000">
        <w:rPr>
          <w:rFonts w:ascii="Times New Roman" w:cs="Times New Roman" w:eastAsia="Times New Roman" w:hAnsi="Times New Roman"/>
          <w:i w:val="1"/>
          <w:sz w:val="24"/>
          <w:szCs w:val="24"/>
          <w:rtl w:val="0"/>
        </w:rPr>
        <w:t xml:space="preserve">International Journal of Hygiene and Environmental Health</w:t>
      </w:r>
      <w:r w:rsidDel="00000000" w:rsidR="00000000" w:rsidRPr="00000000">
        <w:rPr>
          <w:rFonts w:ascii="Times New Roman" w:cs="Times New Roman" w:eastAsia="Times New Roman" w:hAnsi="Times New Roman"/>
          <w:sz w:val="24"/>
          <w:szCs w:val="24"/>
          <w:rtl w:val="0"/>
        </w:rPr>
        <w:t xml:space="preserve"> (Vol. 217, Issues 2–3, pp. 133–144). https://doi.org/10.1016/j.ijheh.2013.08.003</w:t>
      </w:r>
    </w:p>
    <w:p w:rsidR="00000000" w:rsidDel="00000000" w:rsidP="00000000" w:rsidRDefault="00000000" w:rsidRPr="00000000" w14:paraId="00000121">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22">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rFonts w:ascii="Times New Roman" w:cs="Times New Roman" w:eastAsia="Times New Roman" w:hAnsi="Times New Roman"/>
        <w:color w:val="a61c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doi.org/10.1016/j.joclim.2022.100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