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1396A" w:rsidRDefault="002A350D" w:rsidP="0041396A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ascii="Open Sans" w:eastAsia="Times New Roman" w:hAnsi="Open Sans" w:cs="Times New Roman"/>
          <w:b/>
          <w:color w:val="535353"/>
          <w:sz w:val="21"/>
          <w:szCs w:val="21"/>
          <w:u w:val="single"/>
          <w:lang w:eastAsia="en-IN"/>
        </w:rPr>
      </w:pPr>
      <w:r>
        <w:fldChar w:fldCharType="begin"/>
      </w:r>
      <w:r>
        <w:instrText xml:space="preserve"> HYPERLINK "http://www.medgenome.com/" </w:instrText>
      </w:r>
      <w:r>
        <w:fldChar w:fldCharType="separate"/>
      </w:r>
      <w:r w:rsidR="0008465F">
        <w:rPr>
          <w:rFonts w:ascii="Open Sans" w:eastAsia="Times New Roman" w:hAnsi="Open Sans" w:cs="Times New Roman"/>
          <w:b/>
          <w:color w:val="585F69"/>
          <w:sz w:val="21"/>
          <w:szCs w:val="21"/>
          <w:u w:val="single"/>
          <w:lang w:eastAsia="en-IN"/>
        </w:rPr>
        <w:t>TCR</w:t>
      </w:r>
      <w:r w:rsidR="0041396A" w:rsidRPr="00E74ECA">
        <w:rPr>
          <w:rFonts w:ascii="Open Sans" w:eastAsia="Times New Roman" w:hAnsi="Open Sans" w:cs="Times New Roman"/>
          <w:b/>
          <w:color w:val="585F69"/>
          <w:sz w:val="21"/>
          <w:szCs w:val="21"/>
          <w:u w:val="single"/>
          <w:lang w:eastAsia="en-IN"/>
        </w:rPr>
        <w:t xml:space="preserve"> Sequencing</w:t>
      </w:r>
      <w:r>
        <w:rPr>
          <w:rFonts w:ascii="Open Sans" w:eastAsia="Times New Roman" w:hAnsi="Open Sans" w:cs="Times New Roman"/>
          <w:b/>
          <w:color w:val="585F69"/>
          <w:sz w:val="21"/>
          <w:szCs w:val="21"/>
          <w:u w:val="single"/>
          <w:lang w:eastAsia="en-IN"/>
        </w:rPr>
        <w:fldChar w:fldCharType="end"/>
      </w:r>
    </w:p>
    <w:p w:rsidR="00581247" w:rsidRDefault="0008465F" w:rsidP="0041396A">
      <w:pPr>
        <w:shd w:val="clear" w:color="auto" w:fill="FFFFFF"/>
        <w:spacing w:before="100" w:beforeAutospacing="1" w:after="60" w:line="240" w:lineRule="auto"/>
        <w:rPr>
          <w:color w:val="000000"/>
          <w:shd w:val="clear" w:color="auto" w:fill="FFFFFF"/>
        </w:rPr>
      </w:pPr>
      <w:r w:rsidRPr="003A1509">
        <w:rPr>
          <w:color w:val="000000"/>
          <w:shd w:val="clear" w:color="auto" w:fill="FFFFFF"/>
        </w:rPr>
        <w:t>T cells</w:t>
      </w:r>
      <w:r w:rsidR="00FA23E4">
        <w:rPr>
          <w:color w:val="000000"/>
          <w:shd w:val="clear" w:color="auto" w:fill="FFFFFF"/>
        </w:rPr>
        <w:t xml:space="preserve"> </w:t>
      </w:r>
      <w:r w:rsidR="00311FE9">
        <w:rPr>
          <w:color w:val="000000"/>
          <w:shd w:val="clear" w:color="auto" w:fill="FFFFFF"/>
        </w:rPr>
        <w:t>are</w:t>
      </w:r>
      <w:r w:rsidR="004477F3">
        <w:rPr>
          <w:color w:val="000000"/>
          <w:shd w:val="clear" w:color="auto" w:fill="FFFFFF"/>
        </w:rPr>
        <w:t xml:space="preserve"> the core component</w:t>
      </w:r>
      <w:r w:rsidR="00732366">
        <w:rPr>
          <w:color w:val="000000"/>
          <w:shd w:val="clear" w:color="auto" w:fill="FFFFFF"/>
        </w:rPr>
        <w:t>s</w:t>
      </w:r>
      <w:r w:rsidR="004477F3">
        <w:rPr>
          <w:color w:val="000000"/>
          <w:shd w:val="clear" w:color="auto" w:fill="FFFFFF"/>
        </w:rPr>
        <w:t xml:space="preserve"> of our adaptive immune </w:t>
      </w:r>
      <w:r w:rsidR="00732366">
        <w:rPr>
          <w:color w:val="000000"/>
          <w:shd w:val="clear" w:color="auto" w:fill="FFFFFF"/>
        </w:rPr>
        <w:t>system</w:t>
      </w:r>
      <w:r w:rsidR="004477F3">
        <w:rPr>
          <w:color w:val="000000"/>
          <w:shd w:val="clear" w:color="auto" w:fill="FFFFFF"/>
        </w:rPr>
        <w:t>. Once activated, they can directly kill cells that are foreign (cytolytic T-cells) or perform helper function (helper T-cells) to activate B-cells to make antibodies against foreign antigen. The activation of</w:t>
      </w:r>
      <w:r w:rsidR="003B5C80">
        <w:rPr>
          <w:color w:val="000000"/>
          <w:shd w:val="clear" w:color="auto" w:fill="FFFFFF"/>
        </w:rPr>
        <w:t xml:space="preserve"> T-cells involve recognition of MHC-peptide complex by the</w:t>
      </w:r>
      <w:r w:rsidR="00581247">
        <w:rPr>
          <w:color w:val="000000"/>
          <w:shd w:val="clear" w:color="auto" w:fill="FFFFFF"/>
        </w:rPr>
        <w:t xml:space="preserve"> T-cell receptors</w:t>
      </w:r>
      <w:r w:rsidR="003B5C80">
        <w:rPr>
          <w:color w:val="000000"/>
          <w:shd w:val="clear" w:color="auto" w:fill="FFFFFF"/>
        </w:rPr>
        <w:t xml:space="preserve"> </w:t>
      </w:r>
      <w:r w:rsidR="00581247">
        <w:rPr>
          <w:color w:val="000000"/>
          <w:shd w:val="clear" w:color="auto" w:fill="FFFFFF"/>
        </w:rPr>
        <w:t>(</w:t>
      </w:r>
      <w:r w:rsidR="003B5C80">
        <w:rPr>
          <w:color w:val="000000"/>
          <w:shd w:val="clear" w:color="auto" w:fill="FFFFFF"/>
        </w:rPr>
        <w:t>TCR</w:t>
      </w:r>
      <w:r w:rsidR="00581247">
        <w:rPr>
          <w:color w:val="000000"/>
          <w:shd w:val="clear" w:color="auto" w:fill="FFFFFF"/>
        </w:rPr>
        <w:t>)</w:t>
      </w:r>
      <w:r w:rsidR="003B5C80">
        <w:rPr>
          <w:color w:val="000000"/>
          <w:shd w:val="clear" w:color="auto" w:fill="FFFFFF"/>
        </w:rPr>
        <w:t xml:space="preserve">. We carry </w:t>
      </w:r>
      <w:r w:rsidR="00DE3752">
        <w:rPr>
          <w:color w:val="000000"/>
          <w:shd w:val="clear" w:color="auto" w:fill="FFFFFF"/>
        </w:rPr>
        <w:t>&gt;10</w:t>
      </w:r>
      <w:r w:rsidR="00DE3752">
        <w:rPr>
          <w:color w:val="000000"/>
          <w:shd w:val="clear" w:color="auto" w:fill="FFFFFF"/>
          <w:vertAlign w:val="superscript"/>
        </w:rPr>
        <w:t>9</w:t>
      </w:r>
      <w:r w:rsidR="00DE3752">
        <w:rPr>
          <w:color w:val="000000"/>
          <w:shd w:val="clear" w:color="auto" w:fill="FFFFFF"/>
        </w:rPr>
        <w:t xml:space="preserve"> T-cells</w:t>
      </w:r>
      <w:r w:rsidR="00581247">
        <w:rPr>
          <w:color w:val="000000"/>
          <w:shd w:val="clear" w:color="auto" w:fill="FFFFFF"/>
        </w:rPr>
        <w:t>,</w:t>
      </w:r>
      <w:r w:rsidR="00DE3752">
        <w:rPr>
          <w:color w:val="000000"/>
          <w:shd w:val="clear" w:color="auto" w:fill="FFFFFF"/>
        </w:rPr>
        <w:t xml:space="preserve"> each expressing </w:t>
      </w:r>
      <w:r w:rsidR="00581247">
        <w:rPr>
          <w:color w:val="000000"/>
          <w:shd w:val="clear" w:color="auto" w:fill="FFFFFF"/>
        </w:rPr>
        <w:t>a</w:t>
      </w:r>
      <w:r w:rsidR="00DE3752">
        <w:rPr>
          <w:color w:val="000000"/>
          <w:shd w:val="clear" w:color="auto" w:fill="FFFFFF"/>
        </w:rPr>
        <w:t xml:space="preserve"> unique TCR</w:t>
      </w:r>
      <w:r w:rsidR="00581247">
        <w:rPr>
          <w:color w:val="000000"/>
          <w:shd w:val="clear" w:color="auto" w:fill="FFFFFF"/>
        </w:rPr>
        <w:t>. T</w:t>
      </w:r>
      <w:r w:rsidR="00DE3752">
        <w:rPr>
          <w:color w:val="000000"/>
          <w:shd w:val="clear" w:color="auto" w:fill="FFFFFF"/>
        </w:rPr>
        <w:t>his</w:t>
      </w:r>
      <w:r w:rsidR="00581247">
        <w:rPr>
          <w:color w:val="000000"/>
          <w:shd w:val="clear" w:color="auto" w:fill="FFFFFF"/>
        </w:rPr>
        <w:t xml:space="preserve"> highly</w:t>
      </w:r>
      <w:r w:rsidR="00DE3752">
        <w:rPr>
          <w:color w:val="000000"/>
          <w:shd w:val="clear" w:color="auto" w:fill="FFFFFF"/>
        </w:rPr>
        <w:t xml:space="preserve"> diverse repertoire of T-cel</w:t>
      </w:r>
      <w:r w:rsidR="00581247">
        <w:rPr>
          <w:color w:val="000000"/>
          <w:shd w:val="clear" w:color="auto" w:fill="FFFFFF"/>
        </w:rPr>
        <w:t>ls has the ability to recognize peptides</w:t>
      </w:r>
      <w:r w:rsidR="00756002">
        <w:rPr>
          <w:color w:val="000000"/>
          <w:shd w:val="clear" w:color="auto" w:fill="FFFFFF"/>
        </w:rPr>
        <w:t xml:space="preserve"> originating </w:t>
      </w:r>
      <w:r w:rsidR="00581247">
        <w:rPr>
          <w:color w:val="000000"/>
          <w:shd w:val="clear" w:color="auto" w:fill="FFFFFF"/>
        </w:rPr>
        <w:t>from foreign elements such as invading pathogens and cancer</w:t>
      </w:r>
      <w:r w:rsidR="00756002">
        <w:rPr>
          <w:color w:val="000000"/>
          <w:shd w:val="clear" w:color="auto" w:fill="FFFFFF"/>
        </w:rPr>
        <w:t xml:space="preserve"> cells. </w:t>
      </w:r>
      <w:r w:rsidR="00581247">
        <w:rPr>
          <w:color w:val="000000"/>
          <w:shd w:val="clear" w:color="auto" w:fill="FFFFFF"/>
        </w:rPr>
        <w:t xml:space="preserve">Each TCR recognize peptides in complex with MHC proteins presented on the surface of antigen presenting cells. </w:t>
      </w:r>
      <w:r w:rsidR="00756002">
        <w:rPr>
          <w:color w:val="000000"/>
          <w:shd w:val="clear" w:color="auto" w:fill="FFFFFF"/>
        </w:rPr>
        <w:t>Productive T-cell activation re</w:t>
      </w:r>
      <w:r w:rsidR="00581247">
        <w:rPr>
          <w:color w:val="000000"/>
          <w:shd w:val="clear" w:color="auto" w:fill="FFFFFF"/>
        </w:rPr>
        <w:t>sults in the clonal expansion of a specific T-cell and this expansion can be</w:t>
      </w:r>
      <w:r w:rsidR="00756002">
        <w:rPr>
          <w:color w:val="000000"/>
          <w:shd w:val="clear" w:color="auto" w:fill="FFFFFF"/>
        </w:rPr>
        <w:t xml:space="preserve"> accurately determine</w:t>
      </w:r>
      <w:r w:rsidR="00581247">
        <w:rPr>
          <w:color w:val="000000"/>
          <w:shd w:val="clear" w:color="auto" w:fill="FFFFFF"/>
        </w:rPr>
        <w:t>d by TCR sequencing.</w:t>
      </w:r>
      <w:r w:rsidR="00756002">
        <w:rPr>
          <w:color w:val="000000"/>
          <w:shd w:val="clear" w:color="auto" w:fill="FFFFFF"/>
        </w:rPr>
        <w:t xml:space="preserve"> In cancer, TCR sequencing has predictive and prognostic value and can lead to the development of novel</w:t>
      </w:r>
      <w:r w:rsidR="00581247">
        <w:rPr>
          <w:color w:val="000000"/>
          <w:shd w:val="clear" w:color="auto" w:fill="FFFFFF"/>
        </w:rPr>
        <w:t xml:space="preserve"> therapeutics such as</w:t>
      </w:r>
      <w:r w:rsidR="00756002">
        <w:rPr>
          <w:color w:val="000000"/>
          <w:shd w:val="clear" w:color="auto" w:fill="FFFFFF"/>
        </w:rPr>
        <w:t xml:space="preserve"> engineered T-cell</w:t>
      </w:r>
      <w:r w:rsidR="00581247">
        <w:rPr>
          <w:color w:val="000000"/>
          <w:shd w:val="clear" w:color="auto" w:fill="FFFFFF"/>
        </w:rPr>
        <w:t>s.</w:t>
      </w:r>
    </w:p>
    <w:p w:rsidR="0001394F" w:rsidRDefault="001E6BFD" w:rsidP="0001394F">
      <w:pPr>
        <w:shd w:val="clear" w:color="auto" w:fill="FFFFFF"/>
        <w:spacing w:before="100" w:beforeAutospacing="1" w:after="60" w:line="240" w:lineRule="auto"/>
        <w:jc w:val="center"/>
        <w:rPr>
          <w:color w:val="000000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2676525" cy="2695575"/>
            <wp:effectExtent l="0" t="0" r="9525" b="9525"/>
            <wp:docPr id="1" name="Picture 1" descr="An external file that holds a picture, illustration, etc.&#10;Object name is gm50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ternal file that holds a picture, illustration, etc.&#10;Object name is gm502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5F" w:rsidRDefault="0001394F" w:rsidP="0041396A">
      <w:pPr>
        <w:shd w:val="clear" w:color="auto" w:fill="FFFFFF"/>
        <w:spacing w:before="100" w:beforeAutospacing="1" w:after="6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Open Sans" w:eastAsia="Times New Roman" w:hAnsi="Open Sans" w:cs="Times New Roman"/>
          <w:color w:val="535353"/>
          <w:sz w:val="21"/>
          <w:szCs w:val="21"/>
          <w:lang w:eastAsia="en-IN"/>
        </w:rPr>
        <w:t xml:space="preserve">                                            </w:t>
      </w:r>
      <w:r w:rsidR="001E6BFD">
        <w:rPr>
          <w:rFonts w:ascii="Open Sans" w:eastAsia="Times New Roman" w:hAnsi="Open Sans" w:cs="Times New Roman"/>
          <w:color w:val="535353"/>
          <w:sz w:val="21"/>
          <w:szCs w:val="21"/>
          <w:lang w:eastAsia="en-IN"/>
        </w:rPr>
        <w:t xml:space="preserve">Source: </w:t>
      </w:r>
      <w:hyperlink r:id="rId6" w:history="1">
        <w:r w:rsidR="001E6BFD">
          <w:rPr>
            <w:rStyle w:val="Hyperlink"/>
            <w:rFonts w:ascii="Arial" w:hAnsi="Arial" w:cs="Arial"/>
            <w:color w:val="642A8F"/>
            <w:sz w:val="16"/>
            <w:szCs w:val="16"/>
            <w:shd w:val="clear" w:color="auto" w:fill="FFFFFF"/>
          </w:rPr>
          <w:t>Genome Med</w:t>
        </w:r>
      </w:hyperlink>
      <w:r w:rsidR="001E6BFD">
        <w:rPr>
          <w:rFonts w:ascii="Arial" w:hAnsi="Arial" w:cs="Arial"/>
          <w:color w:val="000000"/>
          <w:sz w:val="16"/>
          <w:szCs w:val="16"/>
          <w:shd w:val="clear" w:color="auto" w:fill="FFFFFF"/>
        </w:rPr>
        <w:t>. 2013; 5(10): 98.</w:t>
      </w:r>
    </w:p>
    <w:p w:rsidR="00EB7C2A" w:rsidRDefault="00EB7C2A" w:rsidP="0041396A">
      <w:pPr>
        <w:shd w:val="clear" w:color="auto" w:fill="FFFFFF"/>
        <w:spacing w:before="100" w:beforeAutospacing="1" w:after="60"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Analysis of T-cell population requires generation of large quantity of data to cover each and every unique</w:t>
      </w:r>
      <w:r w:rsidR="0001394F">
        <w:rPr>
          <w:color w:val="000000"/>
          <w:shd w:val="clear" w:color="auto" w:fill="FFFFFF"/>
        </w:rPr>
        <w:t xml:space="preserve"> TCR expressed by T-cells present in the population</w:t>
      </w:r>
      <w:r>
        <w:rPr>
          <w:color w:val="000000"/>
          <w:shd w:val="clear" w:color="auto" w:fill="FFFFFF"/>
        </w:rPr>
        <w:t xml:space="preserve">. This is achieved by next generation sequencing of genomic DNA from purified T-cells. Both </w:t>
      </w:r>
      <w:r>
        <w:rPr>
          <w:rFonts w:cstheme="minorHAnsi"/>
          <w:color w:val="000000"/>
          <w:shd w:val="clear" w:color="auto" w:fill="FFFFFF"/>
        </w:rPr>
        <w:t>α</w:t>
      </w:r>
      <w:r>
        <w:rPr>
          <w:color w:val="000000"/>
          <w:shd w:val="clear" w:color="auto" w:fill="FFFFFF"/>
        </w:rPr>
        <w:t xml:space="preserve"> and </w:t>
      </w:r>
      <w:r>
        <w:rPr>
          <w:rFonts w:cstheme="minorHAnsi"/>
          <w:color w:val="000000"/>
          <w:shd w:val="clear" w:color="auto" w:fill="FFFFFF"/>
        </w:rPr>
        <w:t>β</w:t>
      </w:r>
      <w:r>
        <w:rPr>
          <w:color w:val="000000"/>
          <w:shd w:val="clear" w:color="auto" w:fill="FFFFFF"/>
        </w:rPr>
        <w:t xml:space="preserve"> chain of the TCR</w:t>
      </w:r>
      <w:r w:rsidR="0001394F">
        <w:rPr>
          <w:color w:val="000000"/>
          <w:shd w:val="clear" w:color="auto" w:fill="FFFFFF"/>
        </w:rPr>
        <w:t xml:space="preserve"> are sequenced to determine clonal diversity of</w:t>
      </w:r>
      <w:r>
        <w:rPr>
          <w:color w:val="000000"/>
          <w:shd w:val="clear" w:color="auto" w:fill="FFFFFF"/>
        </w:rPr>
        <w:t xml:space="preserve"> the complementary-determining regions (CDRs) of the individual receptor. The CDR1 and CDR2 regions contribute binding to MHC and the CDR3 region to the peptide presented by the MHC. </w:t>
      </w:r>
      <w:r w:rsidR="00A57AAE">
        <w:rPr>
          <w:color w:val="000000"/>
          <w:shd w:val="clear" w:color="auto" w:fill="FFFFFF"/>
        </w:rPr>
        <w:t>The diversity in the</w:t>
      </w:r>
      <w:r>
        <w:rPr>
          <w:color w:val="000000"/>
          <w:shd w:val="clear" w:color="auto" w:fill="FFFFFF"/>
        </w:rPr>
        <w:t xml:space="preserve"> CDR3</w:t>
      </w:r>
      <w:r w:rsidR="00A57AAE">
        <w:rPr>
          <w:color w:val="000000"/>
          <w:shd w:val="clear" w:color="auto" w:fill="FFFFFF"/>
        </w:rPr>
        <w:t xml:space="preserve"> region can be assessed by sequencing the </w:t>
      </w:r>
      <w:r w:rsidR="00A57AAE">
        <w:rPr>
          <w:rFonts w:cstheme="minorHAnsi"/>
          <w:color w:val="000000"/>
          <w:shd w:val="clear" w:color="auto" w:fill="FFFFFF"/>
        </w:rPr>
        <w:t>β</w:t>
      </w:r>
      <w:r w:rsidR="00A57AAE">
        <w:rPr>
          <w:color w:val="000000"/>
          <w:shd w:val="clear" w:color="auto" w:fill="FFFFFF"/>
        </w:rPr>
        <w:t xml:space="preserve"> chain</w:t>
      </w:r>
      <w:r w:rsidR="0001394F">
        <w:rPr>
          <w:color w:val="000000"/>
          <w:shd w:val="clear" w:color="auto" w:fill="FFFFFF"/>
        </w:rPr>
        <w:t xml:space="preserve"> of the TCR complex</w:t>
      </w:r>
      <w:r w:rsidR="00A57AAE">
        <w:rPr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 </w:t>
      </w:r>
    </w:p>
    <w:p w:rsidR="00EB7C2A" w:rsidRDefault="00EB7C2A" w:rsidP="0041396A">
      <w:pPr>
        <w:shd w:val="clear" w:color="auto" w:fill="FFFFFF"/>
        <w:spacing w:before="100" w:beforeAutospacing="1" w:after="60" w:line="240" w:lineRule="auto"/>
        <w:rPr>
          <w:color w:val="000000"/>
          <w:shd w:val="clear" w:color="auto" w:fill="FFFFFF"/>
        </w:rPr>
      </w:pPr>
    </w:p>
    <w:p w:rsidR="00416496" w:rsidRDefault="00416496" w:rsidP="0041396A">
      <w:pPr>
        <w:shd w:val="clear" w:color="auto" w:fill="FFFFFF"/>
        <w:spacing w:before="100" w:beforeAutospacing="1" w:after="60" w:line="240" w:lineRule="auto"/>
        <w:rPr>
          <w:rFonts w:ascii="Open Sans" w:eastAsia="Times New Roman" w:hAnsi="Open Sans" w:cs="Times New Roman"/>
          <w:color w:val="535353"/>
          <w:sz w:val="21"/>
          <w:szCs w:val="21"/>
          <w:lang w:eastAsia="en-IN"/>
        </w:rPr>
      </w:pPr>
    </w:p>
    <w:sectPr w:rsidR="00416496" w:rsidSect="00566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B6929"/>
    <w:multiLevelType w:val="multilevel"/>
    <w:tmpl w:val="1F0A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6A"/>
    <w:rsid w:val="0001394F"/>
    <w:rsid w:val="000335E5"/>
    <w:rsid w:val="0008465F"/>
    <w:rsid w:val="00110890"/>
    <w:rsid w:val="001732A5"/>
    <w:rsid w:val="001E6BFD"/>
    <w:rsid w:val="00263DBF"/>
    <w:rsid w:val="002A350D"/>
    <w:rsid w:val="00311FE9"/>
    <w:rsid w:val="003A1509"/>
    <w:rsid w:val="003A5F9D"/>
    <w:rsid w:val="003B5C80"/>
    <w:rsid w:val="0041396A"/>
    <w:rsid w:val="00416496"/>
    <w:rsid w:val="004477F3"/>
    <w:rsid w:val="00566A1D"/>
    <w:rsid w:val="00581247"/>
    <w:rsid w:val="005B2666"/>
    <w:rsid w:val="005D3D20"/>
    <w:rsid w:val="005D5E23"/>
    <w:rsid w:val="006C559A"/>
    <w:rsid w:val="00732366"/>
    <w:rsid w:val="00756002"/>
    <w:rsid w:val="007C30B9"/>
    <w:rsid w:val="008B2568"/>
    <w:rsid w:val="009765BC"/>
    <w:rsid w:val="009B657D"/>
    <w:rsid w:val="00A57AAE"/>
    <w:rsid w:val="00B61255"/>
    <w:rsid w:val="00C901D5"/>
    <w:rsid w:val="00D32382"/>
    <w:rsid w:val="00DE3752"/>
    <w:rsid w:val="00EB7C2A"/>
    <w:rsid w:val="00FA2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91FD8-4E7D-43A2-AD0F-3507432D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B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/pmc/articles/PMC3979016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Somasekhar</dc:creator>
  <cp:keywords/>
  <dc:description/>
  <cp:lastModifiedBy>Hiranjith</cp:lastModifiedBy>
  <cp:revision>2</cp:revision>
  <dcterms:created xsi:type="dcterms:W3CDTF">2016-09-16T00:03:00Z</dcterms:created>
  <dcterms:modified xsi:type="dcterms:W3CDTF">2016-09-16T00:03:00Z</dcterms:modified>
</cp:coreProperties>
</file>