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imhei.ttf.odttf" ContentType="application/vnd.openxmlformats-officedocument.obfuscatedFont"/>
  <Override PartName="/word/fonts/simsun.ttf.odttf" ContentType="application/vnd.openxmlformats-officedocument.obfuscatedFont"/>
  <Override PartName="/word/fonts/times.ttf.odttf" ContentType="application/vnd.openxmlformats-officedocument.obfuscatedFont"/>
  <Override PartName="/word/fonts/timesbd.ttf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000" w:lineRule="exact" w:before="1360" w:after="480"/>
        <w:ind w:firstLine="0"/>
        <w:jc w:val="center"/>
      </w:pPr>
      <w:r>
        <w:rPr>
          <w:rFonts w:ascii="Times New Roman" w:hAnsi="Times New Roman" w:eastAsia="黑体"/>
          <w:b w:val="0"/>
          <w:sz w:val="84"/>
        </w:rPr>
        <w:t>张靖皋长江大桥南航道桥</w:t>
      </w:r>
    </w:p>
    <w:p>
      <w:pPr>
        <w:spacing w:line="880" w:lineRule="exact" w:after="640"/>
        <w:ind w:firstLine="0"/>
        <w:jc w:val="center"/>
      </w:pPr>
      <w:r>
        <w:rPr>
          <w:rFonts w:ascii="Times New Roman" w:hAnsi="Times New Roman" w:eastAsia="黑体"/>
          <w:b w:val="0"/>
          <w:sz w:val="72"/>
        </w:rPr>
        <w:t>猫道结构复核计算报告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P1—P6 六工况静力复算</w:t>
      </w:r>
    </w:p>
    <w:p>
      <w:pPr>
        <w:spacing w:before="7440"/>
        <w:ind w:firstLine="0"/>
        <w:jc w:val="center"/>
      </w:pPr>
      <w:r>
        <w:rPr>
          <w:rFonts w:ascii="Times New Roman" w:hAnsi="Times New Roman" w:eastAsia="黑体"/>
          <w:b w:val="0"/>
          <w:sz w:val="28"/>
        </w:rPr>
        <w:t>猫道及门架承重索整体计算</w:t>
      </w:r>
    </w:p>
    <w:p>
      <w:pPr>
        <w:spacing w:before="400"/>
        <w:ind w:firstLine="0"/>
        <w:jc w:val="center"/>
      </w:pPr>
      <w:r>
        <w:rPr>
          <w:rFonts w:ascii="Times New Roman" w:hAnsi="Times New Roman" w:eastAsia="黑体"/>
          <w:b w:val="0"/>
          <w:sz w:val="28"/>
        </w:rPr>
        <w:t>二○二六年十月六日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黑体"/>
          <w:b w:val="0"/>
          <w:sz w:val="30"/>
        </w:rPr>
        <w:t>目 录</w:t>
      </w:r>
    </w:p>
    <w:p>
      <w:fldSimple w:instr="TOC \o &quot;1-2&quot; \h \z \u"/>
    </w:p>
    <w:p>
      <w:r>
        <w:br w:type="page"/>
      </w:r>
    </w:p>
    <w:p>
      <w:pPr>
        <w:pStyle w:val="Heading1"/>
      </w:pPr>
      <w:r>
        <w:t>第 1 章 工程概况</w:t>
      </w:r>
    </w:p>
    <w:p>
      <w:pPr>
        <w:pStyle w:val="Heading2"/>
      </w:pPr>
      <w:r>
        <w:t>1.1 工程概况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依据原报告第4页：南航道桥主跨2300 m，主缆跨径660+2300+1220 m；猫道为四跨连续体系，左右幅间距42.9 m。当前输入是二维 MCT 等效整体索系，不能从其结果推断双幅横向联结、抗风扭转或局部板件强度。</w:t>
      </w:r>
    </w:p>
    <w:p>
      <w:pPr>
        <w:pStyle w:val="Heading2"/>
      </w:pPr>
      <w:r>
        <w:t>1.2 依据性文件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表1-1  依据性文件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92"/>
        <w:gridCol w:w="6747"/>
      </w:tblGrid>
      <w:tr>
        <w:trPr>
          <w:tblHeader/>
        </w:trPr>
        <w:tc>
          <w:tcPr>
            <w:tcW w:type="dxa" w:w="481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</w:t>
            </w:r>
          </w:p>
        </w:tc>
        <w:tc>
          <w:tcPr>
            <w:tcW w:type="dxa" w:w="481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用途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原报告0324.pdf，118页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格式、材料说明、表1-7/1-11/1-14及原结论对照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P1—P6 INP + manifest.json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计算输入、固定版本、逐文件哈希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benchmarks.json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独立MAPDL位移基准；原PDF索力表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run.json、input_audit、job.dat/sta/log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本次执行事实及审计证据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原报告PDF SHA256：8b2f0eb267216cd7d1e9746adb28f8973b4614d27fa1e2290eb12c2a6a45ca90</w:t>
      </w:r>
    </w:p>
    <w:p>
      <w:pPr>
        <w:pStyle w:val="Heading2"/>
      </w:pPr>
      <w:r>
        <w:t>1.3 主要规范与复核口径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原报告采用 JTG D60-2015、JTG D64-2015、JTG/T 3650-2020、JTG/T 3360-01-2018、JTG/T D65-05-2015、GB 50017-2017、GB/T 20118-2025、GB 8918-2006、GB/T 33943-2017。这里只转录原报告依据，未宣称逐条重新验证全部规范。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安全系数 Nbreak / Nmax，破断力沿用报告表1-11与1-14的整体索束口径。工况6按表1-7要求2.7；原报告部分正文写2.5，与表格不一致，本次采用2.7。</w:t>
      </w:r>
    </w:p>
    <w:p>
      <w:pPr>
        <w:pStyle w:val="Heading2"/>
      </w:pPr>
      <w:r>
        <w:t>1.4 主要材料及截面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表1-2  主要材料及截面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材料/截面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 / MPa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ν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ρ / t·mm⁻³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 / mm²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MAT1/E_SEC1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120000.0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1.26484805e-08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22298.692000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MAT2/E_SEC2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120000.0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8.59881705e-09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8402.979700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MAT3/E_SEC3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206000.0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1.01978381e-17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9791.999997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P3/P6 的三种材料均指定 α=1.2×10⁻⁵ /℃；其他工况没有热膨胀卡。MAT1、MAT2 为等效钢丝绳材料；MAT3为门架等效连接杆，B31矩形截面98.954535×98.954535 mm，方向向量(1,1,1)。MAT3密度近零属于输入建模口径，不是普通结构钢物理密度。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钢丝强度等级1960 MPa不等于整根绳或索束设计允许应力，不能用1960×等效面积替代报告破断力。</w:t>
      </w:r>
    </w:p>
    <w:p>
      <w:pPr>
        <w:pStyle w:val="Heading2"/>
      </w:pPr>
      <w:r>
        <w:t>1.5 主要荷载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单位体系为 mm、N、s、tonne、MPa。重力加速度9806 mm/s²，方向(0,0,-1)，施加于E_CABLE与E_FRAME。下表仅统计各步CLOAD，不含DLOAD自重。第二步数据为总荷载，不再额外加一次第一步CLOAD。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表1-3  主要荷载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分析步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ΣFx/N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ΣFy/N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ΣFz/N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-4725567.874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-4725567.874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-8069828.486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-4725567.874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-8069828.486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P4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-4725567.874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P4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2246926.048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-8312299.455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P5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-4725567.874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P5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15303735.373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-6377029.291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P6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-4725567.874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P6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-8069828.486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P4/P5 有横向风力但所有UY被约束，横向力主要进入约束反力；本次不提供横风位移或三维抗风安全结论。原报告基本风速34.3 m/s、施工风速13.8 m/s，仅作来源说明，不再重复换算并叠加载荷。</w:t>
      </w:r>
    </w:p>
    <w:p>
      <w:r>
        <w:br w:type="page"/>
      </w:r>
    </w:p>
    <w:p>
      <w:pPr>
        <w:pStyle w:val="Heading1"/>
      </w:pPr>
      <w:r>
        <w:t>第 2 章 猫道及门架承重索计算</w:t>
      </w:r>
    </w:p>
    <w:p>
      <w:pPr>
        <w:pStyle w:val="Heading2"/>
      </w:pPr>
      <w:r>
        <w:t>2.1 计算控制点与边界条件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原始节点坐标来自INP，节点编号不连续。全部1125节点的UY固定，另外约束如下。UX、UZ未列出的自由度保持输入原状，不擅自增加固结或释放约束。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表2-1  计算控制点与边界条件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92"/>
        <w:gridCol w:w="6747"/>
      </w:tblGrid>
      <w:tr>
        <w:trPr>
          <w:tblHeader/>
        </w:trPr>
        <w:tc>
          <w:tcPr>
            <w:tcW w:type="dxa" w:w="481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节点</w:t>
            </w:r>
          </w:p>
        </w:tc>
        <w:tc>
          <w:tcPr>
            <w:tcW w:type="dxa" w:w="481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固定自由度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UX,UZ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154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UX,UZ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157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447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UX,UZ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608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723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726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728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UX,UZ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729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UX,UZ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730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UX,UZ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1001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UX,UZ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1003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1063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1066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UX,UZ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1280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UX,UZ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1283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1347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1393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UZ</w:t>
            </w:r>
          </w:p>
        </w:tc>
      </w:tr>
      <w:tr>
        <w:tc>
          <w:tcPr>
            <w:tcW w:type="dxa" w:w="2892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1395</w:t>
            </w:r>
          </w:p>
        </w:tc>
        <w:tc>
          <w:tcPr>
            <w:tcW w:type="dxa" w:w="6747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UX,UZ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完整坐标、位移与变形后坐标关系见每工况nodes.csv。输入几何未重新定义为空索线形；当前初应力状态的含义必须与原MCT找形过程一起解释。</w:t>
      </w:r>
    </w:p>
    <w:p>
      <w:pPr>
        <w:pStyle w:val="Heading2"/>
      </w:pPr>
      <w:r>
        <w:t>2.2 计算模型、网格和分析步骤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1125节点、1194单元：1123个T3D2索杆与71个B31梁。T3D2是可承受拉压的杆单元，不能仅凭名称认定其带有只受拉算法；本次额外检查各工况索力是否全部为正。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Gmsh 4.13.1 实际调用geo建点、连线、每条原始边设置2个节点并generate(1)：1125个节点、1194个线单元。按显式编号映射检验坐标及连接关系，最大坐标误差 0 mm。材料、初应力、荷载保留原INP，未使用Gmsh裸网格覆盖分析卡片。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初始应力包含1123单元×8积分点=8984条六分量张量记录。每工况独立从初应力状态开始；P1一静力步，P2—P6先恒载步再目标组合步，均采用NLGEOM。第一步未显式给时间参数；第二步为1,1,1e-6,1。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求解器：/workspace/c05-review/solver/ccx-2.23-UCOR6-UCAB3-FT14-linux-x86_64；SHA256=b498dad80b0415d53ab112409adc85b8a1fd19eb7846dc31e778f4c83b437a0e。OMP_NUM_THREADS=1；每工况结果写入独立目录，禁止跨工况覆盖或错误串接。</w:t>
      </w:r>
    </w:p>
    <w:p>
      <w:pPr>
        <w:pStyle w:val="Heading2"/>
      </w:pPr>
      <w:r>
        <w:t>2.3 荷载组合与结果完整性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表2-2  荷载组合与结果完整性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组合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报告要求K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末步时间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计算状态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恒载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完成；数据校验通过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恒载+施工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2.7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完成；数据校验通过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恒载+施工+温降15℃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2.7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完成；数据校验通过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P4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恒载+施工+施工风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2.7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完成；数据校验通过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P5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恒载+最大阵风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2.5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完成；数据校验通过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P6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恒载+施工+温降34℃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2.7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完成；数据校验通过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P1：*WARNING reading *STATIC: a nonlinear analysis is requested but no time increment nor step is specified the defaults (1,1) are used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P2：*WARNING reading *STATIC: a nonlinear analysis is requested but no time increment nor step is specified the defaults (1,1) are used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P3：*WARNING reading *NSET/ELSET: end value in set N_THERM &gt; nk; replaced by nk; *WARNING reading *STATIC: a nonlinear analysis is requested but no time increment nor step is specified the defaults (1,1) are used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P4：*WARNING reading *STATIC: a nonlinear analysis is requested but no time increment nor step is specified the defaults (1,1) are used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P5：*WARNING reading *STATIC: a nonlinear analysis is requested but no time increment nor step is specified the defaults (1,1) are used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P6：*WARNING reading *NSET/ELSET: end value in set N_THERM &gt; nk; replaced by nk; *WARNING reading *STATIC: a nonlinear analysis is requested but no time increment nor step is specified the defaults (1,1) are used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没有将进程退出码单独作为成功依据：同时检查Job finished、末步sta时间、U/S同一末时刻、1125个位移记录、1123×8应力记录及有限数值。原件未请求RF，故本次总反力与力矩平衡为未核查项，不能伪称已完成。</w:t>
      </w:r>
    </w:p>
    <w:p>
      <w:pPr>
        <w:pStyle w:val="Heading2"/>
      </w:pPr>
      <w:r>
        <w:t>2.4 猫道承重索计算</w:t>
      </w:r>
    </w:p>
    <w:p>
      <w:pPr>
        <w:pStyle w:val="Heading3"/>
      </w:pPr>
      <w:r>
        <w:t>2.4.1 空索线形与成型线形口径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本流程输出原始几何及各工况变形后线形。原报告空索找形、成型迭代与控制点拟合没有在本次重新执行，不将静力位移结果冒充空索找形验证。</w:t>
      </w:r>
    </w:p>
    <w:p>
      <w:pPr>
        <w:pStyle w:val="Heading3"/>
      </w:pPr>
      <w:r>
        <w:t>2.4.2 位移复核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表2-3  位移复核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USUM/mm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MAPDL/mm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差/%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峰值节点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42.259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42.578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-0.749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2662.041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2684.838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-0.849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1176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1897.223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1910.012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-0.670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1176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P4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2846.280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2870.967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-0.860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1176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P5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1325.314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1335.773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-0.783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P6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927.260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927.414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-0.017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1166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以上位移基准来自既有二维MCT的MAPDL独立复现，不是原PDF直接读取的位移结果。USUM=sqrt(UX²+UY²+UZ²)，不能用最大UZ绝对值代替。</w:t>
      </w:r>
    </w:p>
    <w:p>
      <w:pPr>
        <w:pStyle w:val="Heading3"/>
      </w:pPr>
      <w:r>
        <w:t>2.4.3 无应力长度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本次不输出可用于下料的无应力长度。近似L0=L/(1+N/(EA)+αΔT)仅适用于相容的小弹性应变口径；这里有预应力和有限变形，未单独验证应力度量、参考几何及索鞍修正，不能据此声称复现原报告表1-10/1-13。</w:t>
      </w:r>
    </w:p>
    <w:p>
      <w:pPr>
        <w:pStyle w:val="Heading3"/>
      </w:pPr>
      <w:r>
        <w:t>2.4.4 猫道承重索强度验算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表2-4  猫道承重索强度验算表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0"/>
        <w:gridCol w:w="27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北边跨</w:t>
            </w:r>
          </w:p>
        </w:tc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主跨</w:t>
            </w:r>
          </w:p>
        </w:tc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南边跨</w:t>
            </w:r>
          </w:p>
        </w:tc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南辅跨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工况1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11482.11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11027.96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10944.12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10352.26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3.316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3.453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3.479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3.678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工况2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12418.74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12624.00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11888.79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11194.88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3.066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3.016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3.203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3.402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工况3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12635.99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12669.49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12102.06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11422.12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3.014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3.006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3.147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3.334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工况4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12485.67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12737.86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11956.13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11254.72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3.050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2.990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3.185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3.383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工况5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11947.27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11813.18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11414.54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10772.58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3.187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3.224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3.336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3.535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工况6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12924.08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12728.12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12385.28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11721.85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38080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2.946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2.992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3.075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3.249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表2-5  猫道承重索轴力与原报告对照（相对差）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北边跨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主跨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南边跨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南辅跨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+0.141%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+0.209%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+0.148%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+0.138%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+0.826%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-0.000%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+0.727%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+0.493%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+0.509%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+0.099%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+0.457%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+0.388%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P4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+0.854%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-0.025%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+0.734%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+0.489%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P5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+0.465%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+0.095%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+0.409%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+0.294%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P6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+0.140%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+0.221%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+0.164%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+0.281%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工况1：最小安全系数3.316，要求不小于3.2，满足要求。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工况2：最小安全系数3.016，要求不小于2.7，满足要求。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工况3：最小安全系数3.006，要求不小于2.7，满足要求。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工况4：最小安全系数2.990，要求不小于2.7，满足要求。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工况5：最小安全系数3.187，要求不小于2.5，满足要求。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工况6：最小安全系数2.946，要求不小于2.7，满足要求。</w:t>
      </w:r>
    </w:p>
    <w:p>
      <w:pPr>
        <w:pStyle w:val="Heading2"/>
      </w:pPr>
      <w:r>
        <w:t>2.5 门架承重索计算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门架承重索为E_SEC2杆单元，与E_SEC3的B31门架等效杆件不同。下表仅验算承重索，不代表B31连接构件应力或稳定性通过。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表2-6  门架承重索强度验算表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0"/>
        <w:gridCol w:w="27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北边跨</w:t>
            </w:r>
          </w:p>
        </w:tc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主跨</w:t>
            </w:r>
          </w:p>
        </w:tc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南边跨</w:t>
            </w:r>
          </w:p>
        </w:tc>
        <w:tc>
          <w:tcPr>
            <w:tcW w:type="dxa" w:w="1606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南辅跨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工况1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3557.97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3358.88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3385.54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3238.34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4.014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4.251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4.218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4.410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工况2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3815.18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4003.22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3655.78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3551.14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3.743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3.567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3.906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4.021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工况3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3941.88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4014.19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3774.15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3649.36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3.623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3.557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3.784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3.913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工况4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3835.34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4048.95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3676.64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3573.29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3.723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3.527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3.884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3.996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工况5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3680.21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3675.69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3516.23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3393.60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3.880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3.885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4.061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4.208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工况6</w:t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承重索轴力MaxN（kN）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4117.98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4027.90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3935.18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3778.34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承重索破断力（kN）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14280</w:t>
            </w:r>
          </w:p>
        </w:tc>
      </w:tr>
      <w:tr>
        <w:tc>
          <w:tcPr>
            <w:tcW w:type="dxa" w:w="1080"/>
            <w:vMerge/>
            <w:vAlign w:val="center"/>
          </w:tcPr>
          <w:p/>
        </w:tc>
        <w:tc>
          <w:tcPr>
            <w:tcW w:type="dxa" w:w="27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安全系数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3.468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3.545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3.629</w:t>
            </w:r>
          </w:p>
        </w:tc>
        <w:tc>
          <w:tcPr>
            <w:tcW w:type="dxa" w:w="108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3.779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表2-7  门架承重索轴力与原报告对照（相对差）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北边跨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主跨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南边跨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南辅跨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+0.112%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+0.325%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+0.134%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+0.165%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-1.059%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+1.040%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-0.874%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+1.057%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-0.533%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+1.011%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-0.366%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+1.006%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P4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-1.126%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+1.047%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-0.899%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+1.083%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P5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-0.669%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+0.704%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-0.503%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+0.581%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P6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+0.390%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+0.975%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+0.413%</w:t>
            </w:r>
          </w:p>
        </w:tc>
        <w:tc>
          <w:tcPr>
            <w:tcW w:type="dxa" w:w="1928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+0.944%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工况1：最小安全系数4.014，要求不小于3.2，满足要求。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工况2：最小安全系数3.567，要求不小于2.7，满足要求。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工况3：最小安全系数3.557，要求不小于2.7，满足要求。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工况4：最小安全系数3.527，要求不小于2.7，满足要求。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工况5：最小安全系数3.880，要求不小于2.5，满足要求。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工况6：最小安全系数3.468，要求不小于2.7，满足要求。</w:t>
      </w:r>
    </w:p>
    <w:p>
      <w:pPr>
        <w:pStyle w:val="Heading2"/>
      </w:pPr>
      <w:r>
        <w:t>2.6 后处理云图与数据解释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轴力与应力云图采用与验算表一致的八个跨段分组；完整单元数据保存在CSV/VTU，未分组连接段不纳入四跨表统计。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线单元云图沿杆件着色；颜色不是实体截面应力云图。位移图使用端点均值着色，最大值以节点数据表为准。坐标显示单位m，位移mm、索力kN、应力MPa。横纵轴独立缩放并已标注，云图不是几何等比例照片。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索力恢复：末步每积分点全局Cauchy应力先取平均，沿变形后单元弦线投影，N=σaxial×A0。A0为原截面面积，是与既有复核保持一致的恢复约定，不声称严格等于所有求解器定义的当前截面真实轴力。未请求的B31应力在VTU中用NaN及有效性标记表示。</w:t>
      </w:r>
    </w:p>
    <w:p>
      <w:r>
        <w:br w:type="page"/>
      </w:r>
    </w:p>
    <w:p>
      <w:pPr>
        <w:pStyle w:val="Heading2"/>
      </w:pPr>
      <w:r>
        <w:t>P1 恒载：位移与索力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峰值节点 304，USUM=42.259 mm，UX/UY/UZ=[0.173994, -1.522535e-15, -42.25829] mm；最小索力=1485.465 kN。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  P1 竖向位移分布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om_N_k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图2-2  P1 猫道承重索轴力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N_k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图2-3  P1 门架承重索轴力</w:t>
      </w:r>
    </w:p>
    <w:p>
      <w:r>
        <w:br w:type="page"/>
      </w:r>
    </w:p>
    <w:p>
      <w:pPr>
        <w:pStyle w:val="Heading2"/>
      </w:pPr>
      <w:r>
        <w:t>P2 恒载+施工：位移与索力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峰值节点 1176，USUM=2662.041 mm，UX/UY/UZ=[17.49577, -1.781946e-11, -2661.984] mm；最小索力=1655.075 kN。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图2-4  P2 竖向位移分布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om_N_k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图2-5  P2 猫道承重索轴力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N_k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图2-6  P2 门架承重索轴力</w:t>
      </w:r>
    </w:p>
    <w:p>
      <w:r>
        <w:br w:type="page"/>
      </w:r>
    </w:p>
    <w:p>
      <w:pPr>
        <w:pStyle w:val="Heading2"/>
      </w:pPr>
      <w:r>
        <w:t>P3 恒载+施工+温降15℃：位移与索力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峰值节点 1176，USUM=1897.223 mm，UX/UY/UZ=[12.44195, -2.123316e-11, -1897.182] mm；最小索力=1677.373 kN。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图2-7  P3 竖向位移分布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om_N_k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图2-8  P3 猫道承重索轴力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N_k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图2-9  P3 门架承重索轴力</w:t>
      </w:r>
    </w:p>
    <w:p>
      <w:r>
        <w:br w:type="page"/>
      </w:r>
    </w:p>
    <w:p>
      <w:pPr>
        <w:pStyle w:val="Heading2"/>
      </w:pPr>
      <w:r>
        <w:t>P4 恒载+施工+施工风：位移与索力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峰值节点 1176，USUM=2846.280 mm，UX/UY/UZ=[18.71548, -2.46039e-11, -2846.218] mm；最小索力=1666.481 kN。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图2-10  P4 竖向位移分布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om_N_k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图2-11  P4 猫道承重索轴力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N_k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图2-12  P4 门架承重索轴力</w:t>
      </w:r>
    </w:p>
    <w:p>
      <w:r>
        <w:br w:type="page"/>
      </w:r>
    </w:p>
    <w:p>
      <w:pPr>
        <w:pStyle w:val="Heading2"/>
      </w:pPr>
      <w:r>
        <w:t>P5 恒载+最大阵风：位移与索力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峰值节点 306，USUM=1325.314 mm，UX/UY/UZ=[10.17938, 1.73789e-12, -1325.275] mm；最小索力=1568.691 kN。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Z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图2-13  P5 竖向位移分布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om_N_k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图2-14  P5 猫道承重索轴力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N_k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图2-15  P5 门架承重索轴力</w:t>
      </w:r>
    </w:p>
    <w:p>
      <w:r>
        <w:br w:type="page"/>
      </w:r>
    </w:p>
    <w:p>
      <w:pPr>
        <w:pStyle w:val="Heading2"/>
      </w:pPr>
      <w:r>
        <w:t>P6 恒载+施工+温降34℃：位移与索力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峰值节点 1166，USUM=927.260 mm，UX/UY/UZ=[-13.45798, -8.270164e-14, -927.1622] mm；最小索力=1705.984 kN。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Z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图2-16  P6 竖向位移分布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om_N_k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图2-17  P6 猫道承重索轴力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511" cy="19381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N_k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93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图2-18  P6 门架承重索轴力</w:t>
      </w:r>
    </w:p>
    <w:p>
      <w:r>
        <w:br w:type="page"/>
      </w:r>
    </w:p>
    <w:p>
      <w:pPr>
        <w:pStyle w:val="Heading1"/>
      </w:pPr>
      <w:r>
        <w:t>第 3 章 结论</w:t>
      </w:r>
    </w:p>
    <w:p>
      <w:pPr>
        <w:pStyle w:val="Heading2"/>
      </w:pPr>
      <w:r>
        <w:t>3.1 本次计算结果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六工况位移最大绝对相对差为 0.860%；底索最大差 0.854%；门架承重索最大差 1.126%。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回归对照判定：全部达到本流程1%位移/1.5%索力及峰值节点一致标准。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报告索束安全系数口径：所有列出的跨度与工况满足表1-7要求。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拉力状态检查：本次所有T3D2恢复索力为正。</w:t>
      </w:r>
    </w:p>
    <w:p>
      <w:pPr>
        <w:pStyle w:val="Heading2"/>
      </w:pPr>
      <w:r>
        <w:t>3.2 适用范围与复核口径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结论仅适用于固定哈希的二维六工况输入。未完成三维抗风、扭转、动力/抖振、空索重新找形、下料长度或支座反力平衡验证。P5不是对C0–C5系列名称的自动映射。回归误差阈值不是规范安全限值。</w:t>
      </w:r>
    </w:p>
    <w:p>
      <w:pPr>
        <w:pStyle w:val="Heading1"/>
      </w:pPr>
      <w:r>
        <w:t>附录 A 文件与执行追溯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表3-1  附录 A 文件与执行追溯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890"/>
        <w:gridCol w:w="8749"/>
      </w:tblGrid>
      <w:tr>
        <w:trPr>
          <w:tblHeader/>
        </w:trPr>
        <w:tc>
          <w:tcPr>
            <w:tcW w:type="dxa" w:w="481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工况</w:t>
            </w:r>
          </w:p>
        </w:tc>
        <w:tc>
          <w:tcPr>
            <w:tcW w:type="dxa" w:w="481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INP SHA256</w:t>
            </w:r>
          </w:p>
        </w:tc>
      </w:tr>
      <w:tr>
        <w:tc>
          <w:tcPr>
            <w:tcW w:type="dxa" w:w="89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874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be533c5f3228aacf19aea4913b503c2c6fac6d6246f6e6ab7b1eba4720e630ae</w:t>
            </w:r>
          </w:p>
        </w:tc>
      </w:tr>
      <w:tr>
        <w:tc>
          <w:tcPr>
            <w:tcW w:type="dxa" w:w="89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874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441f12d3abda82ede3038abf23df8bf13802a908dd2b52802d6651c5773c1593</w:t>
            </w:r>
          </w:p>
        </w:tc>
      </w:tr>
      <w:tr>
        <w:tc>
          <w:tcPr>
            <w:tcW w:type="dxa" w:w="89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874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672749c99210c2ab3091651189d5c4cc2da7cc7066cd2aa29490c8e3c55a4050</w:t>
            </w:r>
          </w:p>
        </w:tc>
      </w:tr>
      <w:tr>
        <w:tc>
          <w:tcPr>
            <w:tcW w:type="dxa" w:w="89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P4</w:t>
            </w:r>
          </w:p>
        </w:tc>
        <w:tc>
          <w:tcPr>
            <w:tcW w:type="dxa" w:w="874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f68ce772e4c9df5f98c8dc8a702a59b88a2bf244f46380f2c9a73d57d4131ceb</w:t>
            </w:r>
          </w:p>
        </w:tc>
      </w:tr>
      <w:tr>
        <w:tc>
          <w:tcPr>
            <w:tcW w:type="dxa" w:w="89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P5</w:t>
            </w:r>
          </w:p>
        </w:tc>
        <w:tc>
          <w:tcPr>
            <w:tcW w:type="dxa" w:w="874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3ba72d5d9c50561f6cdde3b17930d4668151d66a0ef7f10540aa59091320fc1f</w:t>
            </w:r>
          </w:p>
        </w:tc>
      </w:tr>
      <w:tr>
        <w:tc>
          <w:tcPr>
            <w:tcW w:type="dxa" w:w="890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P6</w:t>
            </w:r>
          </w:p>
        </w:tc>
        <w:tc>
          <w:tcPr>
            <w:tcW w:type="dxa" w:w="8749"/>
            <w:vAlign w:val="center"/>
          </w:tcPr>
          <w:p>
            <w:pPr>
              <w:spacing w:line="280" w:lineRule="exact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177650a7fb09bcfe7a7f21d9336600b9c5156ebfd93ebbb22899a93e7af4fc67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证据目录：run.json记录执行命令、求解器哈希、时间与警告；mesh包含Gmsh网格与编号映射；P1—P6包含原件job.inp、job.dat/frd/sta/cvg、solver.log、summary.json、nodes.csv、cables.csv、results.vtu与7张图；SHA256SUMS锁定本次输出。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41"/>
      <w:pgMar w:top="1260" w:right="850" w:bottom="1660" w:left="1417" w:header="960" w:footer="11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  <w:embedRegular r:id="rId3" w:fontKey="{B9E9B843-8C67-462A-AA83-B6D579A77FD9}"/>
    <w:embedBold r:id="rId4" w:fontKey="{DA231132-88A7-4957-9359-48270EE0DB22}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embedRegular r:id="rId1" w:fontKey="{C631C4C6-9F49-440C-9615-470F949B2D91}"/>
  </w:font>
  <w:font w:name="黑体">
    <w:embedRegular r:id="rId2" w:fontKey="{A048FFAE-7E55-4096-9534-41C1681325E0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000000"/>
      </w:pBdr>
      <w:tabs>
        <w:tab w:pos="8439" w:val="left"/>
      </w:tabs>
      <w:ind w:firstLine="0"/>
    </w:pPr>
    <w:r>
      <w:rPr>
        <w:rFonts w:ascii="Times New Roman" w:hAnsi="Times New Roman" w:eastAsia="宋体"/>
        <w:b w:val="0"/>
        <w:sz w:val="16"/>
      </w:rPr>
      <w:t>猫道及门架承重索静力复核 / P1—P6 六工况</w:t>
    </w:r>
    <w:r>
      <w:tab/>
    </w:r>
    <w:fldSimple w:instr="PAGE \# &quot;000&quot;"/>
    <w:r>
      <w:t>/</w:t>
    </w:r>
    <w:fldSimple w:instr="NUMPAGES \# &quot;000&quot;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 \# &quot;000&quot;"/>
    <w:r>
      <w:t>/</w:t>
    </w:r>
    <w:fldSimple w:instr="NUMPAGES \# &quot;000&quot;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000000"/>
      </w:pBdr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68" w:lineRule="exact" w:after="0"/>
      <w:ind w:firstLine="48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440" w:line="468" w:lineRule="exact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468" w:lineRule="exact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468" w:lineRule="exact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imsun.ttf.odttf"/><Relationship Id="rId2" Type="http://schemas.openxmlformats.org/officeDocument/2006/relationships/font" Target="fonts/simhei.ttf.odttf"/><Relationship Id="rId3" Type="http://schemas.openxmlformats.org/officeDocument/2006/relationships/font" Target="fonts/times.ttf.odttf"/><Relationship Id="rId4" Type="http://schemas.openxmlformats.org/officeDocument/2006/relationships/font" Target="fonts/timesbd.ttf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