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simhei.ttf.odttf" ContentType="application/vnd.openxmlformats-officedocument.obfuscatedFont"/>
  <Override PartName="/word/fonts/simsun.ttf.odttf" ContentType="application/vnd.openxmlformats-officedocument.obfuscatedFont"/>
  <Override PartName="/word/fonts/times.ttf.odttf" ContentType="application/vnd.openxmlformats-officedocument.obfuscatedFont"/>
  <Override PartName="/word/fonts/timesbd.ttf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1000" w:lineRule="exact" w:before="1360" w:after="480"/>
        <w:ind w:firstLine="0"/>
        <w:jc w:val="center"/>
      </w:pPr>
      <w:r>
        <w:rPr>
          <w:rFonts w:ascii="Times New Roman" w:hAnsi="Times New Roman" w:eastAsia="黑体"/>
          <w:b w:val="0"/>
          <w:sz w:val="84"/>
        </w:rPr>
        <w:t>张靖皋长江大桥南航道桥</w:t>
      </w:r>
    </w:p>
    <w:p>
      <w:pPr>
        <w:spacing w:line="880" w:lineRule="exact" w:after="640"/>
        <w:ind w:firstLine="0"/>
        <w:jc w:val="center"/>
      </w:pPr>
      <w:r>
        <w:rPr>
          <w:rFonts w:ascii="Times New Roman" w:hAnsi="Times New Roman" w:eastAsia="黑体"/>
          <w:b w:val="0"/>
          <w:sz w:val="72"/>
        </w:rPr>
        <w:t>猫道结构复核计算报告</w:t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P1—P6 六工况静力复算</w:t>
      </w:r>
    </w:p>
    <w:p>
      <w:pPr>
        <w:spacing w:before="7440"/>
        <w:ind w:firstLine="0"/>
        <w:jc w:val="center"/>
      </w:pPr>
      <w:r>
        <w:rPr>
          <w:rFonts w:ascii="Times New Roman" w:hAnsi="Times New Roman" w:eastAsia="黑体"/>
          <w:b w:val="0"/>
          <w:sz w:val="28"/>
        </w:rPr>
        <w:t>猫道及门架承重索整体计算</w:t>
      </w:r>
    </w:p>
    <w:p>
      <w:pPr>
        <w:spacing w:before="400"/>
        <w:ind w:firstLine="0"/>
        <w:jc w:val="center"/>
      </w:pPr>
      <w:r>
        <w:rPr>
          <w:rFonts w:ascii="Times New Roman" w:hAnsi="Times New Roman" w:eastAsia="黑体"/>
          <w:b w:val="0"/>
          <w:sz w:val="28"/>
        </w:rPr>
        <w:t>二○二六年十月六日</w:t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ind w:firstLine="0"/>
        <w:jc w:val="center"/>
      </w:pPr>
      <w:r>
        <w:rPr>
          <w:rFonts w:ascii="Times New Roman" w:hAnsi="Times New Roman" w:eastAsia="黑体"/>
          <w:b w:val="0"/>
          <w:sz w:val="30"/>
        </w:rPr>
        <w:t>目 录</w:t>
      </w:r>
    </w:p>
    <w:p>
      <w:pPr>
        <w:tabs>
          <w:tab w:pos="9639" w:val="right" w:leader="dot"/>
        </w:tabs>
        <w:spacing w:line="312" w:lineRule="exact" w:before="120" w:after="0"/>
        <w:ind w:firstLine="0" w:left="0"/>
      </w:pPr>
      <w:r>
        <w:fldChar w:fldCharType="begin"/>
        <w:instrText xml:space="preserve"> TOC \o "1-2" \h \z \u </w:instrText>
        <w:fldChar w:fldCharType="separate"/>
      </w:r>
      <w:r>
        <w:rPr>
          <w:rFonts w:ascii="Times New Roman" w:hAnsi="Times New Roman" w:eastAsia="宋体"/>
          <w:b w:val="0"/>
          <w:sz w:val="20"/>
        </w:rPr>
        <w:t>第 1 章 工程概况</w:t>
        <w:tab/>
        <w:t>3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1.1 工程概况</w:t>
        <w:tab/>
        <w:t>3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1.2 依据性文件</w:t>
        <w:tab/>
        <w:t>3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1.3 主要规范与复核口径</w:t>
        <w:tab/>
        <w:t>3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1.4 主要材料及截面</w:t>
        <w:tab/>
        <w:t>3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1.5 主要荷载</w:t>
        <w:tab/>
        <w:t>4</w:t>
      </w:r>
    </w:p>
    <w:p>
      <w:pPr>
        <w:tabs>
          <w:tab w:pos="9639" w:val="right" w:leader="dot"/>
        </w:tabs>
        <w:spacing w:line="312" w:lineRule="exact" w:before="120" w:after="0"/>
        <w:ind w:firstLine="0" w:left="0"/>
      </w:pPr>
      <w:r>
        <w:rPr>
          <w:rFonts w:ascii="Times New Roman" w:hAnsi="Times New Roman" w:eastAsia="宋体"/>
          <w:b w:val="0"/>
          <w:sz w:val="20"/>
        </w:rPr>
        <w:t>第 2 章 猫道及门架承重索计算</w:t>
        <w:tab/>
        <w:t>5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2.1 计算控制点与边界条件</w:t>
        <w:tab/>
        <w:t>5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2.2 计算模型、网格和分析步骤</w:t>
        <w:tab/>
        <w:t>6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2.3 荷载组合与结果完整性</w:t>
        <w:tab/>
        <w:t>6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2.4 猫道承重索计算</w:t>
        <w:tab/>
        <w:t>7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2.5 门架承重索计算</w:t>
        <w:tab/>
        <w:t>9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2.6 后处理云图与数据解释</w:t>
        <w:tab/>
        <w:t>10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P1 恒载：位移与索力</w:t>
        <w:tab/>
        <w:t>11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P2 恒载+施工：位移与索力</w:t>
        <w:tab/>
        <w:t>12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P3 恒载+施工+温降15℃：位移与索力</w:t>
        <w:tab/>
        <w:t>13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P4 恒载+施工+施工风：位移与索力</w:t>
        <w:tab/>
        <w:t>14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P5 恒载+最大阵风：位移与索力</w:t>
        <w:tab/>
        <w:t>15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P6 恒载+施工+温降34℃：位移与索力</w:t>
        <w:tab/>
        <w:t>16</w:t>
      </w:r>
    </w:p>
    <w:p>
      <w:pPr>
        <w:tabs>
          <w:tab w:pos="9639" w:val="right" w:leader="dot"/>
        </w:tabs>
        <w:spacing w:line="312" w:lineRule="exact" w:before="120" w:after="0"/>
        <w:ind w:firstLine="0" w:left="0"/>
      </w:pPr>
      <w:r>
        <w:rPr>
          <w:rFonts w:ascii="Times New Roman" w:hAnsi="Times New Roman" w:eastAsia="宋体"/>
          <w:b w:val="0"/>
          <w:sz w:val="20"/>
        </w:rPr>
        <w:t>第 3 章 结论</w:t>
        <w:tab/>
        <w:t>17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3.1 本次计算结果</w:t>
        <w:tab/>
        <w:t>17</w:t>
      </w:r>
    </w:p>
    <w:p>
      <w:pPr>
        <w:tabs>
          <w:tab w:pos="9429" w:val="right" w:leader="dot"/>
        </w:tabs>
        <w:spacing w:line="312" w:lineRule="exact" w:before="0" w:after="0"/>
        <w:ind w:firstLine="0" w:left="210"/>
      </w:pPr>
      <w:r>
        <w:rPr>
          <w:rFonts w:ascii="Times New Roman" w:hAnsi="Times New Roman" w:eastAsia="宋体"/>
          <w:b w:val="0"/>
          <w:sz w:val="20"/>
        </w:rPr>
        <w:t>3.2 适用范围与复核口径</w:t>
        <w:tab/>
        <w:t>17</w:t>
      </w:r>
    </w:p>
    <w:p>
      <w:pPr>
        <w:tabs>
          <w:tab w:pos="9639" w:val="right" w:leader="dot"/>
        </w:tabs>
        <w:spacing w:line="312" w:lineRule="exact" w:before="120" w:after="0"/>
        <w:ind w:firstLine="0" w:left="0"/>
      </w:pPr>
      <w:r>
        <w:rPr>
          <w:rFonts w:ascii="Times New Roman" w:hAnsi="Times New Roman" w:eastAsia="宋体"/>
          <w:b w:val="0"/>
          <w:sz w:val="20"/>
        </w:rPr>
        <w:t>附录 A 文件与执行追溯</w:t>
        <w:tab/>
        <w:t>17</w:t>
      </w:r>
      <w:r>
        <w:fldChar w:fldCharType="end"/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pStyle w:val="Heading1"/>
      </w:pPr>
      <w:r>
        <w:t>第 1 章 工程概况</w:t>
      </w:r>
    </w:p>
    <w:p>
      <w:pPr>
        <w:pStyle w:val="Heading2"/>
      </w:pPr>
      <w:r>
        <w:t>1.1 工程概况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依据原报告第4页：南航道桥主跨2300 m，主缆跨径660+2300+1220 m；猫道为四跨连续体系，左右幅间距42.9 m。当前输入是二维 MCT 等效整体索系，不能从其结果推断双幅横向联结、抗风扭转或局部板件强度。</w:t>
      </w:r>
    </w:p>
    <w:p>
      <w:pPr>
        <w:pStyle w:val="Heading2"/>
      </w:pPr>
      <w:r>
        <w:t>1.2 依据性文件</w:t>
      </w:r>
    </w:p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表1-1  依据性文件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2892"/>
        <w:gridCol w:w="6747"/>
      </w:tblGrid>
      <w:tr>
        <w:trPr>
          <w:tblHeader/>
        </w:trPr>
        <w:tc>
          <w:tcPr>
            <w:tcW w:type="dxa" w:w="481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文件</w:t>
            </w:r>
          </w:p>
        </w:tc>
        <w:tc>
          <w:tcPr>
            <w:tcW w:type="dxa" w:w="481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用途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原报告0324.pdf，118页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格式、材料说明、表1-7/1-11/1-14及原结论对照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P1—P6 INP + manifest.json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计算输入、固定版本、逐文件哈希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benchmarks.json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独立MAPDL位移基准；原PDF索力表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run.json、input_audit、job.dat/sta/log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本次执行事实及审计证据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sz w:val="24"/>
        </w:rPr>
        <w:t>原报告PDF SHA256：8b2f0eb267216cd7d1e9746adb28f8973b4614d27fa1e2290eb12c2a6a45ca90</w:t>
      </w:r>
    </w:p>
    <w:p>
      <w:pPr>
        <w:pStyle w:val="Heading2"/>
      </w:pPr>
      <w:r>
        <w:t>1.3 主要规范与复核口径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原报告采用 JTG D60-2015、JTG D64-2015、JTG/T 3650-2020、JTG/T 3360-01-2018、JTG/T D65-05-2015、GB 50017-2017、GB/T 20118-2025、GB 8918-2006、GB/T 33943-2017。这里只转录原报告依据，未宣称逐条重新验证全部规范。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安全系数 Nbreak / Nmax，破断力沿用报告表1-11与1-14的整体索束口径。工况6按表1-7要求2.7；原报告部分正文写2.5，与表格不一致，本次采用2.7。</w:t>
      </w:r>
    </w:p>
    <w:p>
      <w:pPr>
        <w:pStyle w:val="Heading2"/>
      </w:pPr>
      <w:r>
        <w:t>1.4 主要材料及截面</w:t>
      </w:r>
    </w:p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表1-2  主要材料及截面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材料/截面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E / MPa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ν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ρ / t·mm⁻³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 / mm²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MAT1/E_SEC1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120000.0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1.26484805e-08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22298.692000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MAT2/E_SEC2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120000.0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8.59881705e-09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8402.979700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MAT3/E_SEC3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206000.0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1.01978381e-17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9791.999997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sz w:val="24"/>
        </w:rPr>
        <w:t>P3/P6 的三种材料均指定 α=1.2×10⁻⁵ /℃；其他工况没有热膨胀卡。MAT1、MAT2 为等效钢丝绳材料；MAT3为门架等效连接杆，B31矩形截面98.954535×98.954535 mm，方向向量(1,1,1)。MAT3密度近零属于输入建模口径，不是普通结构钢物理密度。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钢丝强度等级1960 MPa不等于整根绳或索束设计允许应力，不能用1960×等效面积替代报告破断力。</w:t>
      </w:r>
    </w:p>
    <w:p>
      <w:pPr>
        <w:pStyle w:val="Heading2"/>
      </w:pPr>
      <w:r>
        <w:t>1.5 主要荷载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单位体系为 mm、N、s、tonne、MPa。重力加速度9806 mm/s²，方向(0,0,-1)，施加于E_CABLE与E_FRAME。下表仅统计各步CLOAD，不含DLOAD自重。第二步数据为总荷载，不再额外加一次第一步CLOAD。</w:t>
      </w:r>
    </w:p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表1-3  主要荷载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分析步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ΣFx/N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ΣFy/N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ΣFz/N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-4725567.874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-4725567.874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-8069828.486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-4725567.874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-8069828.486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-4725567.874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2246926.048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-8312299.455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-4725567.874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15303735.373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-6377029.291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P6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-4725567.874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P6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-8069828.486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sz w:val="24"/>
        </w:rPr>
        <w:t>P4/P5 有横向风力但所有UY被约束，横向力主要进入约束反力；本次不提供横风位移或三维抗风安全结论。原报告基本风速34.3 m/s、施工风速13.8 m/s，仅作来源说明，不再重复换算并叠加载荷。</w:t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pStyle w:val="Heading1"/>
      </w:pPr>
      <w:r>
        <w:t>第 2 章 猫道及门架承重索计算</w:t>
      </w:r>
    </w:p>
    <w:p>
      <w:pPr>
        <w:pStyle w:val="Heading2"/>
      </w:pPr>
      <w:r>
        <w:t>2.1 计算控制点与边界条件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原始节点坐标来自INP，节点编号不连续。全部1125节点的UY固定，另外约束如下。UX、UZ未列出的自由度保持输入原状，不擅自增加固结或释放约束。</w:t>
      </w:r>
    </w:p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表2-1  计算控制点与边界条件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2892"/>
        <w:gridCol w:w="6747"/>
      </w:tblGrid>
      <w:tr>
        <w:trPr>
          <w:tblHeader/>
        </w:trPr>
        <w:tc>
          <w:tcPr>
            <w:tcW w:type="dxa" w:w="481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节点</w:t>
            </w:r>
          </w:p>
        </w:tc>
        <w:tc>
          <w:tcPr>
            <w:tcW w:type="dxa" w:w="481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固定自由度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154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157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447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608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723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726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728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729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730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1001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1003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1063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1066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1280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1283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1347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1393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UZ</w:t>
            </w:r>
          </w:p>
        </w:tc>
      </w:tr>
      <w:tr>
        <w:tc>
          <w:tcPr>
            <w:tcW w:type="dxa" w:w="2892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1395</w:t>
            </w:r>
          </w:p>
        </w:tc>
        <w:tc>
          <w:tcPr>
            <w:tcW w:type="dxa" w:w="6747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UX,UZ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sz w:val="24"/>
        </w:rPr>
        <w:t>完整坐标、位移与变形后坐标关系见每工况nodes.csv。输入几何未重新定义为空索线形；当前初应力状态的含义必须与原MCT找形过程一起解释。</w:t>
      </w:r>
    </w:p>
    <w:p>
      <w:pPr>
        <w:pStyle w:val="Heading2"/>
      </w:pPr>
      <w:r>
        <w:t>2.2 计算模型、网格和分析步骤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1125节点、1194单元：1123个T3D2索杆与71个B31梁。T3D2是可承受拉压的杆单元，不能仅凭名称认定其带有只受拉算法；本次额外检查各工况索力是否全部为正。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Gmsh 4.13.1 实际调用geo建点、连线、每条原始边设置2个节点并generate(1)：1125个节点、1194个线单元。按显式编号映射检验坐标及连接关系，最大坐标误差 0 mm。材料、初应力、荷载保留原INP，未使用Gmsh裸网格覆盖分析卡片。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初始应力包含1123单元×8积分点=8984条六分量张量记录。每工况独立从初应力状态开始；P1一静力步，P2—P6先恒载步再目标组合步，均采用NLGEOM。第一步未显式给时间参数；第二步为1,1,1e-6,1。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求解器：/workspace/c05-review/solver/ccx-2.23-UCOR6-UCAB3-FT14-linux-x86_64；SHA256=b498dad80b0415d53ab112409adc85b8a1fd19eb7846dc31e778f4c83b437a0e。OMP_NUM_THREADS=1；每工况结果写入独立目录，禁止跨工况覆盖或错误串接。</w:t>
      </w:r>
    </w:p>
    <w:p>
      <w:pPr>
        <w:pStyle w:val="Heading2"/>
      </w:pPr>
      <w:r>
        <w:t>2.3 荷载组合与结果完整性</w:t>
      </w:r>
    </w:p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表2-2  荷载组合与结果完整性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组合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报告要求K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末步时间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计算状态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恒载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3.2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1.0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完成；数据校验通过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恒载+施工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2.7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完成；数据校验通过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恒载+施工+温降15℃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2.7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完成；数据校验通过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恒载+施工+施工风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2.7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完成；数据校验通过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恒载+最大阵风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2.5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完成；数据校验通过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P6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恒载+施工+温降34℃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2.7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完成；数据校验通过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sz w:val="24"/>
        </w:rPr>
        <w:t>P1：*WARNING reading *STATIC: a nonlinear analysis is requested but no time increment nor step is specified the defaults (1,1) are used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P2：*WARNING reading *STATIC: a nonlinear analysis is requested but no time increment nor step is specified the defaults (1,1) are used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P3：*WARNING reading *NSET/ELSET: end value in set N_THERM &gt; nk; replaced by nk; *WARNING reading *STATIC: a nonlinear analysis is requested but no time increment nor step is specified the defaults (1,1) are used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P4：*WARNING reading *STATIC: a nonlinear analysis is requested but no time increment nor step is specified the defaults (1,1) are used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P5：*WARNING reading *STATIC: a nonlinear analysis is requested but no time increment nor step is specified the defaults (1,1) are used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P6：*WARNING reading *NSET/ELSET: end value in set N_THERM &gt; nk; replaced by nk; *WARNING reading *STATIC: a nonlinear analysis is requested but no time increment nor step is specified the defaults (1,1) are used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没有将进程退出码单独作为成功依据：同时检查Job finished、末步sta时间、U/S同一末时刻、1125个位移记录、1123×8应力记录及有限数值。原件未请求RF，故本次总反力与力矩平衡为未核查项，不能伪称已完成。</w:t>
      </w:r>
    </w:p>
    <w:p>
      <w:pPr>
        <w:pStyle w:val="Heading2"/>
      </w:pPr>
      <w:r>
        <w:t>2.4 猫道承重索计算</w:t>
      </w:r>
    </w:p>
    <w:p>
      <w:pPr>
        <w:pStyle w:val="Heading3"/>
      </w:pPr>
      <w:r>
        <w:t>2.4.1 空索线形与成型线形口径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本流程输出原始几何及各工况变形后线形。原报告空索找形、成型迭代与控制点拟合没有在本次重新执行，不将静力位移结果冒充空索找形验证。</w:t>
      </w:r>
    </w:p>
    <w:p>
      <w:pPr>
        <w:pStyle w:val="Heading3"/>
      </w:pPr>
      <w:r>
        <w:t>2.4.2 位移复核</w:t>
      </w:r>
    </w:p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表2-3  位移复核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USUM/mm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MAPDL/mm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差/%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峰值节点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42.259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42.578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-0.749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2662.041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2684.838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-0.849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1176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1897.223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1910.012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-0.670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1176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2846.280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2870.967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-0.860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1176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1325.314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1335.773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-0.783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306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P6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927.260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927.414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-0.017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1166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sz w:val="24"/>
        </w:rPr>
        <w:t>以上位移基准来自既有二维MCT的MAPDL独立复现，不是原PDF直接读取的位移结果。USUM=sqrt(UX²+UY²+UZ²)，不能用最大UZ绝对值代替。</w:t>
      </w:r>
    </w:p>
    <w:p>
      <w:pPr>
        <w:pStyle w:val="Heading3"/>
      </w:pPr>
      <w:r>
        <w:t>2.4.3 无应力长度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本次不输出可用于下料的无应力长度。近似L0=L/(1+N/(EA)+αΔT)仅适用于相容的小弹性应变口径；这里有预应力和有限变形，未单独验证应力度量、参考几何及索鞍修正，不能据此声称复现原报告表1-10/1-13。</w:t>
      </w:r>
    </w:p>
    <w:p>
      <w:pPr>
        <w:pStyle w:val="Heading3"/>
      </w:pPr>
      <w:r>
        <w:t>2.4.4 猫道承重索强度验算</w:t>
      </w:r>
    </w:p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表2-4  猫道承重索强度验算表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1080"/>
        <w:gridCol w:w="2780"/>
        <w:gridCol w:w="1080"/>
        <w:gridCol w:w="1080"/>
        <w:gridCol w:w="1080"/>
        <w:gridCol w:w="1080"/>
      </w:tblGrid>
      <w:tr>
        <w:trPr>
          <w:tblHeader/>
        </w:trPr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北边跨</w:t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主跨</w:t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南边跨</w:t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南辅跨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工况1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11482.11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11027.96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10944.12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10352.26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3.316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3.453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3.479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3.678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工况2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12418.74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12624.00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11888.79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11194.88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3.066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3.016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3.203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3.402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工况3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12635.99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12669.49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12102.06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11422.12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3.014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3.006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3.147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3.334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工况4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12485.67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12737.86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11956.13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11254.72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3.050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2.990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3.185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3.383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工况5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11947.27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11813.18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11414.54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10772.58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3.187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3.224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3.336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3.535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工况6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12924.08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12728.12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12385.28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11721.85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38080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2.946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2.992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3.075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3.249</w:t>
            </w:r>
          </w:p>
        </w:tc>
      </w:tr>
    </w:tbl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表2-5  猫道承重索轴力与原报告对照（相对差）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北边跨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主跨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南边跨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南辅跨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+0.141%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+0.209%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+0.148%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+0.138%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+0.826%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-0.000%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+0.727%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+0.493%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+0.509%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+0.099%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+0.457%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+0.388%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+0.854%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-0.025%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+0.734%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+0.489%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+0.465%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+0.095%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+0.409%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+0.294%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P6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+0.140%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+0.221%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+0.164%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+0.281%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工况1：最小安全系数3.316，要求不小于3.2，满足要求。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工况2：最小安全系数3.016，要求不小于2.7，满足要求。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工况3：最小安全系数3.006，要求不小于2.7，满足要求。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工况4：最小安全系数2.990，要求不小于2.7，满足要求。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工况5：最小安全系数3.187，要求不小于2.5，满足要求。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工况6：最小安全系数2.946，要求不小于2.7，满足要求。</w:t>
      </w:r>
    </w:p>
    <w:p>
      <w:pPr>
        <w:pStyle w:val="Heading2"/>
      </w:pPr>
      <w:r>
        <w:t>2.5 门架承重索计算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门架承重索为E_SEC2杆单元，与E_SEC3的B31门架等效杆件不同。下表仅验算承重索，不代表B31连接构件应力或稳定性通过。</w:t>
      </w:r>
    </w:p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表2-6  门架承重索强度验算表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1080"/>
        <w:gridCol w:w="2780"/>
        <w:gridCol w:w="1080"/>
        <w:gridCol w:w="1080"/>
        <w:gridCol w:w="1080"/>
        <w:gridCol w:w="1080"/>
      </w:tblGrid>
      <w:tr>
        <w:trPr>
          <w:tblHeader/>
        </w:trPr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北边跨</w:t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主跨</w:t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南边跨</w:t>
            </w:r>
          </w:p>
        </w:tc>
        <w:tc>
          <w:tcPr>
            <w:tcW w:type="dxa" w:w="1606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南辅跨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工况1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3557.97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3358.88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3385.54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3238.34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4.014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4.251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4.218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4.410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工况2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3815.18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4003.22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3655.78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3551.14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3.743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3.567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3.906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4.021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工况3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3941.88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4014.19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3774.15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3649.36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3.623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3.557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3.784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3.913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工况4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3835.34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4048.95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3676.64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3573.29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3.723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3.527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3.884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3.996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工况5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3680.21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3675.69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3516.23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3393.60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3.880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3.885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4.061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4.208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工况6</w:t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承重索轴力MaxN（kN）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4117.98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4027.90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3935.18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3778.34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承重索破断力（kN）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14280</w:t>
            </w:r>
          </w:p>
        </w:tc>
      </w:tr>
      <w:tr>
        <w:tc>
          <w:tcPr>
            <w:tcW w:type="dxa" w:w="1080"/>
            <w:vMerge/>
            <w:vAlign w:val="center"/>
          </w:tcPr>
          <w:p/>
        </w:tc>
        <w:tc>
          <w:tcPr>
            <w:tcW w:type="dxa" w:w="27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安全系数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3.468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3.545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3.629</w:t>
            </w:r>
          </w:p>
        </w:tc>
        <w:tc>
          <w:tcPr>
            <w:tcW w:type="dxa" w:w="108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3.779</w:t>
            </w:r>
          </w:p>
        </w:tc>
      </w:tr>
    </w:tbl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表2-7  门架承重索轴力与原报告对照（相对差）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北边跨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主跨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南边跨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南辅跨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+0.112%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+0.325%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+0.134%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+0.165%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-1.059%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+1.040%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-0.874%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+1.057%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P3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-0.533%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+1.011%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-0.366%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+1.006%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-1.126%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+1.047%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-0.899%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+1.083%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-0.669%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+0.704%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-0.503%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+0.581%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P6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+0.390%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+0.975%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+0.413%</w:t>
            </w:r>
          </w:p>
        </w:tc>
        <w:tc>
          <w:tcPr>
            <w:tcW w:type="dxa" w:w="1928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+0.944%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工况1：最小安全系数4.014，要求不小于3.2，满足要求。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工况2：最小安全系数3.567，要求不小于2.7，满足要求。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工况3：最小安全系数3.557，要求不小于2.7，满足要求。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工况4：最小安全系数3.527，要求不小于2.7，满足要求。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工况5：最小安全系数3.880，要求不小于2.5，满足要求。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工况6：最小安全系数3.468，要求不小于2.7，满足要求。</w:t>
      </w:r>
    </w:p>
    <w:p>
      <w:pPr>
        <w:pStyle w:val="Heading2"/>
      </w:pPr>
      <w:r>
        <w:t>2.6 后处理云图与数据解释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轴力与应力云图采用与验算表一致的八个跨段分组；完整单元数据保存在CSV/VTU，未分组连接段不纳入四跨表统计。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线单元云图沿杆件着色；颜色不是实体截面应力云图。位移图使用端点均值着色，最大值以节点数据表为准。坐标显示单位m，位移mm、索力kN、应力MPa。横纵轴独立缩放并已标注，云图不是几何等比例照片。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索力恢复：末步每积分点全局Cauchy应力先取平均，沿变形后单元弦线投影，N=σaxial×A0。A0为原截面面积，是与既有复核保持一致的恢复约定，不声称严格等于所有求解器定义的当前截面真实轴力。未请求的B31应力在VTU中用NaN及有效性标记表示。</w:t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pStyle w:val="Heading2"/>
      </w:pPr>
      <w:r>
        <w:t>P1 恒载：位移与索力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峰值节点 304，USUM=42.259 mm，UX/UY/UZ=[0.173994, -1.522535e-15, -42.25829] mm；最小索力=1485.465 kN。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  P1 竖向位移分布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图2-2  P1 猫道承重索轴力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图2-3  P1 门架承重索轴力</w:t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pStyle w:val="Heading2"/>
      </w:pPr>
      <w:r>
        <w:t>P2 恒载+施工：位移与索力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峰值节点 1176，USUM=2662.041 mm，UX/UY/UZ=[17.49577, -1.781946e-11, -2661.984] mm；最小索力=1655.075 kN。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图2-4  P2 竖向位移分布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图2-5  P2 猫道承重索轴力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图2-6  P2 门架承重索轴力</w:t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pStyle w:val="Heading2"/>
      </w:pPr>
      <w:r>
        <w:t>P3 恒载+施工+温降15℃：位移与索力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峰值节点 1176，USUM=1897.223 mm，UX/UY/UZ=[12.44195, -2.123316e-11, -1897.182] mm；最小索力=1677.373 kN。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图2-7  P3 竖向位移分布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图2-8  P3 猫道承重索轴力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图2-9  P3 门架承重索轴力</w:t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pStyle w:val="Heading2"/>
      </w:pPr>
      <w:r>
        <w:t>P4 恒载+施工+施工风：位移与索力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峰值节点 1176，USUM=2846.280 mm，UX/UY/UZ=[18.71548, -2.46039e-11, -2846.218] mm；最小索力=1666.481 kN。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图2-10  P4 竖向位移分布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图2-11  P4 猫道承重索轴力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图2-12  P4 门架承重索轴力</w:t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pStyle w:val="Heading2"/>
      </w:pPr>
      <w:r>
        <w:t>P5 恒载+最大阵风：位移与索力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峰值节点 306，USUM=1325.314 mm，UX/UY/UZ=[10.17938, 1.73789e-12, -1325.275] mm；最小索力=1568.691 kN。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图2-13  P5 竖向位移分布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图2-14  P5 猫道承重索轴力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图2-15  P5 门架承重索轴力</w:t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pStyle w:val="Heading2"/>
      </w:pPr>
      <w:r>
        <w:t>P6 恒载+施工+温降34℃：位移与索力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峰值节点 1166，USUM=927.260 mm，UX/UY/UZ=[-13.45798, -8.270164e-14, -927.1622] mm；最小索力=1705.984 kN。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图2-16  P6 竖向位移分布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图2-17  P6 猫道承重索轴力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511" cy="19381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511" cy="193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图2-18  P6 门架承重索轴力</w:t>
      </w:r>
    </w:p>
    <w:p>
      <w:pPr>
        <w:spacing w:line="20" w:lineRule="exact" w:before="0" w:after="0"/>
        <w:ind w:firstLine="0"/>
      </w:pPr>
      <w:r>
        <w:rPr>
          <w:sz w:val="2"/>
        </w:rPr>
        <w:br w:type="page"/>
      </w:r>
    </w:p>
    <w:p>
      <w:pPr>
        <w:pStyle w:val="Heading1"/>
      </w:pPr>
      <w:r>
        <w:t>第 3 章 结论</w:t>
      </w:r>
    </w:p>
    <w:p>
      <w:pPr>
        <w:pStyle w:val="Heading2"/>
      </w:pPr>
      <w:r>
        <w:t>3.1 本次计算结果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六工况位移最大绝对相对差为 0.860%；底索最大差 0.854%；门架承重索最大差 1.126%。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回归对照判定：全部达到本流程1%位移/1.5%索力及峰值节点一致标准。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报告索束安全系数口径：所有列出的跨度与工况满足表1-7要求。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拉力状态检查：本次所有T3D2恢复索力为正。</w:t>
      </w:r>
    </w:p>
    <w:p>
      <w:pPr>
        <w:pStyle w:val="Heading2"/>
      </w:pPr>
      <w:r>
        <w:t>3.2 适用范围与复核口径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结论仅适用于固定哈希的二维六工况输入。未完成三维抗风、扭转、动力/抖振、空索重新找形、下料长度或支座反力平衡验证。P5不是对C0–C5系列名称的自动映射。回归误差阈值不是规范安全限值。</w:t>
      </w:r>
    </w:p>
    <w:p>
      <w:pPr>
        <w:pStyle w:val="Heading1"/>
      </w:pPr>
      <w:r>
        <w:t>附录 A 文件与执行追溯</w:t>
      </w:r>
    </w:p>
    <w:p>
      <w:pPr>
        <w:keepNext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表3-1  附录 A 文件与执行追溯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890"/>
        <w:gridCol w:w="8749"/>
      </w:tblGrid>
      <w:tr>
        <w:trPr>
          <w:tblHeader/>
        </w:trPr>
        <w:tc>
          <w:tcPr>
            <w:tcW w:type="dxa" w:w="481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工况</w:t>
            </w:r>
          </w:p>
        </w:tc>
        <w:tc>
          <w:tcPr>
            <w:tcW w:type="dxa" w:w="481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INP SHA256</w:t>
            </w:r>
          </w:p>
        </w:tc>
      </w:tr>
      <w:tr>
        <w:tc>
          <w:tcPr>
            <w:tcW w:type="dxa" w:w="89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P1</w:t>
            </w:r>
          </w:p>
        </w:tc>
        <w:tc>
          <w:tcPr>
            <w:tcW w:type="dxa" w:w="874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be533c5f3228aacf19aea4913b503c2c6fac6d6246f6e6ab7b1eba4720e630ae</w:t>
            </w:r>
          </w:p>
        </w:tc>
      </w:tr>
      <w:tr>
        <w:tc>
          <w:tcPr>
            <w:tcW w:type="dxa" w:w="89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P2</w:t>
            </w:r>
          </w:p>
        </w:tc>
        <w:tc>
          <w:tcPr>
            <w:tcW w:type="dxa" w:w="874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441f12d3abda82ede3038abf23df8bf13802a908dd2b52802d6651c5773c1593</w:t>
            </w:r>
          </w:p>
        </w:tc>
      </w:tr>
      <w:tr>
        <w:tc>
          <w:tcPr>
            <w:tcW w:type="dxa" w:w="89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P3</w:t>
            </w:r>
          </w:p>
        </w:tc>
        <w:tc>
          <w:tcPr>
            <w:tcW w:type="dxa" w:w="874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672749c99210c2ab3091651189d5c4cc2da7cc7066cd2aa29490c8e3c55a4050</w:t>
            </w:r>
          </w:p>
        </w:tc>
      </w:tr>
      <w:tr>
        <w:tc>
          <w:tcPr>
            <w:tcW w:type="dxa" w:w="89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P4</w:t>
            </w:r>
          </w:p>
        </w:tc>
        <w:tc>
          <w:tcPr>
            <w:tcW w:type="dxa" w:w="874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f68ce772e4c9df5f98c8dc8a702a59b88a2bf244f46380f2c9a73d57d4131ceb</w:t>
            </w:r>
          </w:p>
        </w:tc>
      </w:tr>
      <w:tr>
        <w:tc>
          <w:tcPr>
            <w:tcW w:type="dxa" w:w="89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P5</w:t>
            </w:r>
          </w:p>
        </w:tc>
        <w:tc>
          <w:tcPr>
            <w:tcW w:type="dxa" w:w="874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3ba72d5d9c50561f6cdde3b17930d4668151d66a0ef7f10540aa59091320fc1f</w:t>
            </w:r>
          </w:p>
        </w:tc>
      </w:tr>
      <w:tr>
        <w:tc>
          <w:tcPr>
            <w:tcW w:type="dxa" w:w="890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P6</w:t>
            </w:r>
          </w:p>
        </w:tc>
        <w:tc>
          <w:tcPr>
            <w:tcW w:type="dxa" w:w="8749"/>
            <w:vAlign w:val="center"/>
          </w:tcPr>
          <w:p>
            <w:pPr>
              <w:spacing w:line="280" w:lineRule="exact" w:after="40" w:before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177650a7fb09bcfe7a7f21d9336600b9c5156ebfd93ebbb22899a93e7af4fc67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sz w:val="24"/>
        </w:rPr>
        <w:t>证据目录：run.json记录执行命令、求解器哈希、时间与警告；mesh包含Gmsh网格与编号映射；P1—P6包含原件job.inp、job.dat/frd/sta/cvg、solver.log、summary.json、nodes.csv、cables.csv、results.vtu与7张图；SHA256SUMS锁定本次输出。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41"/>
      <w:pgMar w:top="1260" w:right="850" w:bottom="1660" w:left="1417" w:header="960" w:footer="11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  <w:embedRegular r:id="rId3" w:fontKey="{FDE8F408-3163-4E59-89CC-DE2812061166}"/>
    <w:embedBold r:id="rId4" w:fontKey="{6DF157C7-8EDA-49CE-AFA8-52ECD3A95B1A}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宋体">
    <w:embedRegular r:id="rId1" w:fontKey="{727FC114-5FA4-4F21-84D5-3DBDB9EF4B5F}"/>
  </w:font>
  <w:font w:name="黑体">
    <w:embedRegular r:id="rId2" w:fontKey="{F7D86F7B-AF7E-4DC8-906D-37C0AE7B1A6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000000"/>
      </w:pBdr>
      <w:tabs>
        <w:tab w:pos="8439" w:val="left"/>
      </w:tabs>
      <w:ind w:firstLine="0"/>
    </w:pPr>
    <w:r>
      <w:rPr>
        <w:rFonts w:ascii="Times New Roman" w:hAnsi="Times New Roman" w:eastAsia="宋体"/>
        <w:b w:val="0"/>
        <w:sz w:val="16"/>
      </w:rPr>
      <w:t>猫道及门架承重索静力复核 / P1—P6 六工况</w:t>
    </w:r>
    <w:r>
      <w:tab/>
    </w:r>
    <w:fldSimple w:instr="PAGE \# &quot;000&quot;"/>
    <w:r>
      <w:t>/</w:t>
    </w:r>
    <w:fldSimple w:instr="NUMPAGES \# &quot;000&quot;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 \# &quot;000&quot;"/>
    <w:r>
      <w:t>/</w:t>
    </w:r>
    <w:fldSimple w:instr="NUMPAGES \# &quot;000&quot;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000000"/>
      </w:pBdr>
      <w:ind w:firstLine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68" w:lineRule="exact" w:after="0"/>
      <w:ind w:firstLine="48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440" w:line="468" w:lineRule="exact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468" w:lineRule="exact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468" w:lineRule="exact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simsun.ttf.odttf"/><Relationship Id="rId2" Type="http://schemas.openxmlformats.org/officeDocument/2006/relationships/font" Target="fonts/simhei.ttf.odttf"/><Relationship Id="rId3" Type="http://schemas.openxmlformats.org/officeDocument/2006/relationships/font" Target="fonts/times.ttf.odttf"/><Relationship Id="rId4" Type="http://schemas.openxmlformats.org/officeDocument/2006/relationships/font" Target="fonts/timesbd.ttf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