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FeaGPT: figure-by-figure study and catwalk content mapping</w:t>
      </w:r>
    </w:p>
    <w:p>
      <w:r>
        <w:t>Reference-led preparation for the catwalk manuscript | English working document | 6 October 2026</w:t>
      </w:r>
    </w:p>
    <w:p>
      <w:pPr>
        <w:pStyle w:val="Heading1"/>
      </w:pPr>
      <w:r>
        <w:t>Reference and reading order</w:t>
      </w:r>
    </w:p>
    <w:p>
      <w:r>
        <w:t>Qi, Y., Xu, R., and Chu, X. FeaGPT: an End-to-End agentic-AI for Finite Element Analysis. arXiv:2510.21993v1 (2025). https://arxiv.org/abs/2510.21993v1</w:t>
      </w:r>
    </w:p>
    <w:p>
      <w:r>
        <w:t>Downloaded reference: reference/FeaGPT.pdf, 21 pages. Read the paper in its original order: Introduction; Methods A–G; Experiments and Results A–G; Conclusions. The mapping below preserves the purpose, arrangement and evidence sequence of each figure while specifying catwalk content.</w:t>
      </w:r>
    </w:p>
    <w:p>
      <w:r>
        <w:t>Reference page previews reproduce the unchanged source pages. Source: Qi, Xu and Chu (2025), FeaGPT, arXiv:2510.21993v1, licensed CC BY 4.0 (https://creativecommons.org/licenses/by/4.0/). The catwalk figure plans and quantitative Figure 4 are new adaptations.</w:t>
      </w:r>
    </w:p>
    <w:p>
      <w:r>
        <w:br w:type="page"/>
      </w:r>
    </w:p>
    <w:p>
      <w:pPr>
        <w:pStyle w:val="Heading1"/>
      </w:pPr>
      <w:r>
        <w:t>Figure 1 — Workflow architecture (source page 4)</w:t>
      </w:r>
    </w:p>
    <w:p>
      <w:r>
        <w:drawing>
          <wp:inline xmlns:a="http://schemas.openxmlformats.org/drawingml/2006/main" xmlns:pic="http://schemas.openxmlformats.org/drawingml/2006/picture">
            <wp:extent cx="4114800" cy="5324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page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2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page 4: Qi, Xu and Chu, FeaGPT (2025), CC BY 4.0; unchanged page preview.</w:t>
      </w:r>
    </w:p>
    <w:p>
      <w:pPr>
        <w:pStyle w:val="Heading2"/>
      </w:pPr>
      <w:r>
        <w:t>What the source figure does</w:t>
      </w:r>
    </w:p>
    <w:p>
      <w:r>
        <w:t>A user request feeds the chief engineer/planner; a knowledge base supplies geometry, materials and prior cases; four connected modules perform geometry, meshing, simulation and data analysis. Arrows show both task flow and returned results.</w:t>
      </w:r>
    </w:p>
    <w:p>
      <w:pPr>
        <w:pStyle w:val="Heading2"/>
      </w:pPr>
      <w:r>
        <w:t>Catwalk panel-by-panel replacement</w:t>
      </w:r>
    </w:p>
    <w:p>
      <w:r>
        <w:t>Keep the left-to-right request-to-result composition and the knowledge block above the workflow. Replace the aircraft request with the catwalk INP set and reference report. Use four module boxes: input/model audit; Gmsh topology reconstruction; nonlinear CalculiX execution; field recovery and report generation. Add the manifest, Skill and benchmark assets above, and the Word/PDF/CSV/VTU outputs at the return arrow.</w:t>
      </w:r>
    </w:p>
    <w:p>
      <w:pPr>
        <w:pStyle w:val="Heading2"/>
      </w:pPr>
      <w:r>
        <w:t>Data to use</w:t>
      </w:r>
    </w:p>
    <w:p>
      <w:r>
        <w:t>SKILL.md; scripts/run.py; assets/reference/manifest.json; examples/run.json</w:t>
      </w:r>
    </w:p>
    <w:p>
      <w:pPr>
        <w:pStyle w:val="Heading2"/>
      </w:pPr>
      <w:r>
        <w:t>Draft catwalk caption</w:t>
      </w:r>
    </w:p>
    <w:p>
      <w:r>
        <w:t>Figure 1. Skill-guided workflow for nonlinear static verification of the catwalk cable system, connecting versioned inputs, mesh verification, finite element solution, field recovery and engineering-report generation.</w:t>
      </w:r>
    </w:p>
    <w:p>
      <w:r>
        <w:br w:type="page"/>
      </w:r>
    </w:p>
    <w:p>
      <w:pPr>
        <w:pStyle w:val="Heading1"/>
      </w:pPr>
      <w:r>
        <w:t>Figure 2 — Geometry and structural detail (source page 12)</w:t>
      </w:r>
    </w:p>
    <w:p>
      <w:r>
        <w:drawing>
          <wp:inline xmlns:a="http://schemas.openxmlformats.org/drawingml/2006/main" xmlns:pic="http://schemas.openxmlformats.org/drawingml/2006/picture">
            <wp:extent cx="4114800" cy="5324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page-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2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page 12: Qi, Xu and Chu, FeaGPT (2025), CC BY 4.0; unchanged page preview.</w:t>
      </w:r>
    </w:p>
    <w:p>
      <w:pPr>
        <w:pStyle w:val="Heading2"/>
      </w:pPr>
      <w:r>
        <w:t>What the source figure does</w:t>
      </w:r>
    </w:p>
    <w:p>
      <w:r>
        <w:t>Three panels progress from an external wing view with a highlighted detail to a complete assembly and an internal structural view. The red ellipse and arrow connect global geometry to a local feature.</w:t>
      </w:r>
    </w:p>
    <w:p>
      <w:pPr>
        <w:pStyle w:val="Heading2"/>
      </w:pPr>
      <w:r>
        <w:t>Catwalk panel-by-panel replacement</w:t>
      </w:r>
    </w:p>
    <w:p>
      <w:r>
        <w:t>Retain three panels and the global-to-local zoom. Panel (a): full X–Z catwalk profile and control points. Panel (b): bottom cables, portal cables and equivalent members in three colors. Panel (c): enlarged portal/cable connection with original node and element IDs, material assignments and supports. Draw geometry directly from the INP coordinates.</w:t>
      </w:r>
    </w:p>
    <w:p>
      <w:pPr>
        <w:pStyle w:val="Heading2"/>
      </w:pPr>
      <w:r>
        <w:t>Data to use</w:t>
      </w:r>
    </w:p>
    <w:p>
      <w:r>
        <w:t>assets/inputs/migrate_P1.inp; scripts/model.py; assets/reference/P1_input_audit.json</w:t>
      </w:r>
    </w:p>
    <w:p>
      <w:pPr>
        <w:pStyle w:val="Heading2"/>
      </w:pPr>
      <w:r>
        <w:t>Draft catwalk caption</w:t>
      </w:r>
    </w:p>
    <w:p>
      <w:r>
        <w:t>Figure 2. Catwalk finite element model: (a) longitudinal profile and control points; (b) cable families and equivalent members; (c) a portal connection with element assignments and boundary conditions.</w:t>
      </w:r>
    </w:p>
    <w:p>
      <w:r>
        <w:br w:type="page"/>
      </w:r>
    </w:p>
    <w:p>
      <w:pPr>
        <w:pStyle w:val="Heading1"/>
      </w:pPr>
      <w:r>
        <w:t>Figure 3 — Mesh-to-field correspondence (source page 13)</w:t>
      </w:r>
    </w:p>
    <w:p>
      <w:r>
        <w:drawing>
          <wp:inline xmlns:a="http://schemas.openxmlformats.org/drawingml/2006/main" xmlns:pic="http://schemas.openxmlformats.org/drawingml/2006/picture">
            <wp:extent cx="4114800" cy="5324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page-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2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page 13: Qi, Xu and Chu, FeaGPT (2025), CC BY 4.0; unchanged page preview.</w:t>
      </w:r>
    </w:p>
    <w:p>
      <w:pPr>
        <w:pStyle w:val="Heading2"/>
      </w:pPr>
      <w:r>
        <w:t>What the source figure does</w:t>
      </w:r>
    </w:p>
    <w:p>
      <w:r>
        <w:t>A mesh overview and local mesh enlargement occupy the left side; a stress contour occupies the right. The arrangement connects discrete geometry to the solved response.</w:t>
      </w:r>
    </w:p>
    <w:p>
      <w:pPr>
        <w:pStyle w:val="Heading2"/>
      </w:pPr>
      <w:r>
        <w:t>Catwalk panel-by-panel replacement</w:t>
      </w:r>
    </w:p>
    <w:p>
      <w:r>
        <w:t>Retain the two main panels and inset. Panel (a): original/Gmsh line mesh overlay with an enlarged tag-mapping detail. Annotate 1,125 nodes, 1,194 elements and zero coordinate discrepancy. Panel (b): P5 axial-force line contour using the same geometry; show kN, span group and governing element. Draw only line elements.</w:t>
      </w:r>
    </w:p>
    <w:p>
      <w:pPr>
        <w:pStyle w:val="Heading2"/>
      </w:pPr>
      <w:r>
        <w:t>Data to use</w:t>
      </w:r>
    </w:p>
    <w:p>
      <w:r>
        <w:t>examples/validated-run.zip: mesh/mesh_map.json and P5 field files; scripts/mesh_gmsh.py; scripts/postprocess.py</w:t>
      </w:r>
    </w:p>
    <w:p>
      <w:pPr>
        <w:pStyle w:val="Heading2"/>
      </w:pPr>
      <w:r>
        <w:t>Draft catwalk caption</w:t>
      </w:r>
    </w:p>
    <w:p>
      <w:r>
        <w:t>Figure 3. Mesh reconstruction and field transfer: (a) Gmsh mesh and original-input tag correspondence; (b) P5 bottom-cable axial-force distribution on the verified line mesh.</w:t>
      </w:r>
    </w:p>
    <w:p>
      <w:r>
        <w:br w:type="page"/>
      </w:r>
    </w:p>
    <w:p>
      <w:pPr>
        <w:pStyle w:val="Heading1"/>
      </w:pPr>
      <w:r>
        <w:t>Figure 4 — Four-panel quantitative evidence (source page 15)</w:t>
      </w:r>
    </w:p>
    <w:p>
      <w:r>
        <w:drawing>
          <wp:inline xmlns:a="http://schemas.openxmlformats.org/drawingml/2006/main" xmlns:pic="http://schemas.openxmlformats.org/drawingml/2006/picture">
            <wp:extent cx="4114800" cy="5324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page-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2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page 15: Qi, Xu and Chu, FeaGPT (2025), CC BY 4.0; unchanged page preview.</w:t>
      </w:r>
    </w:p>
    <w:p>
      <w:pPr>
        <w:pStyle w:val="Heading2"/>
      </w:pPr>
      <w:r>
        <w:t>What the source figure does</w:t>
      </w:r>
    </w:p>
    <w:p>
      <w:r>
        <w:t>The original 2×2 panel layout moves through parameter correlations, a stress–weight Pareto scatter, load-step stress distributions and fatigue-life results. Each panel answers a different quantitative question.</w:t>
      </w:r>
    </w:p>
    <w:p>
      <w:pPr>
        <w:pStyle w:val="Heading2"/>
      </w:pPr>
      <w:r>
        <w:t>Catwalk panel-by-panel replacement</w:t>
      </w:r>
    </w:p>
    <w:p>
      <w:r>
        <w:t>Keep the 2×2 evidence layout. Panel (a): six-case CalculiX/MAPDL peak-displacement bars. Panel (b): parity scatter for 48 report/calculated span-force pairs, distinguished by cable family. Panel (c): minimum four-span safety factor by family and case with required values. Panel (d): signed relative-error heatmap for six cases × eight span groups. Use the actual summary JSON for every point.</w:t>
      </w:r>
    </w:p>
    <w:p>
      <w:pPr>
        <w:pStyle w:val="Heading2"/>
      </w:pPr>
      <w:r>
        <w:t>Data to use</w:t>
      </w:r>
    </w:p>
    <w:p>
      <w:r>
        <w:t>examples/summary.json; examples/comparison.csv; figures/figure_4_data.csv</w:t>
      </w:r>
    </w:p>
    <w:p>
      <w:pPr>
        <w:pStyle w:val="Heading2"/>
      </w:pPr>
      <w:r>
        <w:t>Draft catwalk caption</w:t>
      </w:r>
    </w:p>
    <w:p>
      <w:r>
        <w:t>Figure 4. Six-case verification: (a) maximum displacement compared with MAPDL; (b) 48 span-force comparisons with the engineering report; (c) minimum span safety factors and required values; (d) signed force differences by case and span.</w:t>
      </w:r>
    </w:p>
    <w:p>
      <w:r>
        <w:br w:type="page"/>
      </w:r>
    </w:p>
    <w:p>
      <w:pPr>
        <w:pStyle w:val="Heading1"/>
      </w:pPr>
      <w:r>
        <w:t>Figure 5 — Grouped field visualization (source page 18)</w:t>
      </w:r>
    </w:p>
    <w:p>
      <w:r>
        <w:drawing>
          <wp:inline xmlns:a="http://schemas.openxmlformats.org/drawingml/2006/main" xmlns:pic="http://schemas.openxmlformats.org/drawingml/2006/picture">
            <wp:extent cx="4114800" cy="5324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-page-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2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page 18: Qi, Xu and Chu, FeaGPT (2025), CC BY 4.0; unchanged page preview.</w:t>
      </w:r>
    </w:p>
    <w:p>
      <w:pPr>
        <w:pStyle w:val="Heading2"/>
      </w:pPr>
      <w:r>
        <w:t>What the source figure does</w:t>
      </w:r>
    </w:p>
    <w:p>
      <w:r>
        <w:t>Six panels are arranged in three columns and two rows. Compressor and turbine results combine full-component/sector views and stress/displacement fields with independent color bars.</w:t>
      </w:r>
    </w:p>
    <w:p>
      <w:pPr>
        <w:pStyle w:val="Heading2"/>
      </w:pPr>
      <w:r>
        <w:t>Catwalk panel-by-panel replacement</w:t>
      </w:r>
    </w:p>
    <w:p>
      <w:r>
        <w:t>Keep six panels, arranged as three columns × two rows. Columns: P1 dead load, P5 maximum gust and P6 cooling. Upper row: signed UZ. Lower row: bottom-cable axial force. Use common limits within each field row, label mm/kN, and annotate the relevant extreme node/element. Place all six load cases in supplementary field plates using the same settings.</w:t>
      </w:r>
    </w:p>
    <w:p>
      <w:pPr>
        <w:pStyle w:val="Heading2"/>
      </w:pPr>
      <w:r>
        <w:t>Data to use</w:t>
      </w:r>
    </w:p>
    <w:p>
      <w:r>
        <w:t>examples/validated-run.zip: P1/P5/P6 nodes.csv, element results and VTU; scripts/postprocess.py</w:t>
      </w:r>
    </w:p>
    <w:p>
      <w:pPr>
        <w:pStyle w:val="Heading2"/>
      </w:pPr>
      <w:r>
        <w:t>Draft catwalk caption</w:t>
      </w:r>
    </w:p>
    <w:p>
      <w:r>
        <w:t>Figure 5. Representative field responses under dead load, maximum gust and cooling: upper row, vertical displacement; lower row, bottom-cable axial force. Columns correspond to P1, P5 and P6.</w:t>
      </w:r>
    </w:p>
    <w:p>
      <w:r>
        <w:br w:type="page"/>
      </w:r>
    </w:p>
    <w:p>
      <w:pPr>
        <w:pStyle w:val="Heading1"/>
      </w:pPr>
      <w:r>
        <w:t>Table-by-table and algorithm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Source item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Source function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Catwalk replacement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Table I, p. 11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Parameter values and configuration count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Six load combinations, step count, temperature and required K; six cases total.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Table II, p. 13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Mesh statistics and validity checks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Node/element counts, element families, coordinate discrepancy, ordered-connectivity checks and initial-stress record count.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Table III, p. 14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Solver performance and response summary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Six-case Umax, peak node, signed MAPDL difference, minimum cable factors and measured solver wall time.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Algorithm 1, p. 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Structured JSON analysis plan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Manifest-driven task schema and ordered validate/mesh/solve/recover/compare/report stages.</w:t>
            </w:r>
          </w:p>
        </w:tc>
      </w:tr>
    </w:tbl>
    <w:p>
      <w:pPr>
        <w:pStyle w:val="Heading1"/>
      </w:pPr>
      <w:r>
        <w:t>Reading-to-writing sequence</w:t>
      </w:r>
    </w:p>
    <w:p>
      <w:r>
        <w:t>I. Introduction, pp. 1–2 → I. Introduction. Paragraph 1 — Introduce agentic engineering workflows through the sequence used in FeaGPT: language-based task specification, tool execution and computational engineering results. Cite FeaGPT at the transition to finite element analysis.</w:t>
      </w:r>
    </w:p>
    <w:p>
      <w:r>
        <w:t>II.A. System Overview, p. 3; Fig. 1 → II.A. System overview. Describe the four workflow modules and their file interfaces using Figure 1. The assistant reads the English Skill and invokes the packaged tools; each tool produces named, machine-readable evidence.</w:t>
      </w:r>
    </w:p>
    <w:p>
      <w:r>
        <w:t>II.B. Engineering Analysis Planning and Task Orchestration, pp. 3–6; Algorithm 1 → II.B. Skill-guided planning and task orchestration. Replace the reference geometry-design JSON with the catwalk task schema: input manifest, cases P1–P6, solver identity, units, execution stages, comparison criteria and report outputs.</w:t>
      </w:r>
    </w:p>
    <w:p>
      <w:r>
        <w:t>II.C. Intelligent Geometry Generation with Knowledge Augmentation, pp. 6–7; Fig. 2 → II.C. Versioned model reconstruction and engineering knowledge. Describe reconstruction from the original coordinates and connectivity, followed by material/section/support audit. Use Figure 2 to connect global geometry, structural families and a local connection.</w:t>
      </w:r>
    </w:p>
    <w:p>
      <w:r>
        <w:t>II.D. Adaptive Mesh Generation, pp. 7–8; Fig. 3; Table II → II.D. Gmsh mesh generation and identity mapping. Explain point/line creation from INP IDs, section physical groups, setTransfiniteCurve(eid, 2), first-order generate(1), and MSH 4.1 export.</w:t>
      </w:r>
    </w:p>
    <w:p>
      <w:r>
        <w:t>II.E. Automated FEA Simulation and Analysis, pp. 8–9 → II.E. Nonlinear static analysis and load-history execution. Write equilibrium as R(u, λ) = fint(u, σ0, T) − fext(λ) = 0. Describe geometric nonlinearity, initial prestress, gravity and prescribed supports within the planar X–Z system.</w:t>
      </w:r>
    </w:p>
    <w:p>
      <w:r>
        <w:t>II.F. Intelligent Data Analysis and Batch Processing, p. 9 → II.F. Field recovery and automated verification. Define Umax = max sqrt(UX²+UY²+UZ²) over original nodes. Define the deformed chord n and recover N = A0 nᵀ σbar n / 1000 in kN, averaging the eight integration-point tensors.</w:t>
      </w:r>
    </w:p>
    <w:p>
      <w:r>
        <w:t>II.G. Scalable Batch Processing Architecture, pp. 9–10 → II.G. Reproducible batch execution and report generation. Describe independent case directories, common geometry audit, recorded solver commands, failure preservation and per-stage status.</w:t>
      </w:r>
    </w:p>
    <w:p>
      <w:r>
        <w:t>III.A. Natural Language Input and System Understanding, p. 11; Table I → III.A. Task specification and six-case execution. Present the task request and its mapped case/output specification. Table I enumerates the six combinations and required safety factors.</w:t>
      </w:r>
    </w:p>
    <w:p>
      <w:r>
        <w:t>III.B. Geometry Generation Results, pp. 11–12; Fig. 2 → III.B. Model reconstruction results. Report 1,125 original nodes, 1,123 T3D2 cable elements and 71 B31 equivalent members. Show the complete geometry and member assignments in Figure 2.</w:t>
      </w:r>
    </w:p>
    <w:p>
      <w:r>
        <w:t>III.C. Mesh Generation and Quality Analysis, pp. 12–13; Table II; Fig. 3 → III.C. Mesh identity and mapping results. Report identical node/element counts, zero coordinate discrepancy and matching ordered connectivity between the input and the Gmsh mesh. Use the local inset to display the mapping.</w:t>
      </w:r>
    </w:p>
    <w:p>
      <w:r>
        <w:t>III.D. FEA Simulation and Results Analysis, p. 14; Table III → III.D. Nonlinear response and benchmark comparison. Report completion of all six cases and matching peak-displacement node IDs. Present the six numerical rows in Table III.</w:t>
      </w:r>
    </w:p>
    <w:p>
      <w:r>
        <w:t>III.E. Intelligent Result Analysis and Autonomous Design Evaluation, pp. 14–16; Fig. 4 → III.E. Cable response interpretation and safety assessment. Follow the four panels in order: global displacement agreement, span-force agreement, cable safety factors and the spatial/case distribution of signed differences.</w:t>
      </w:r>
    </w:p>
    <w:p>
      <w:r>
        <w:t>III.F. Computational Performance and Scalability, pp. 16–17 → III.F. Execution performance and automation accounting. Report the recorded solver wall times by case and their sum, with Python/platform/solver identity. Label timing boundaries explicitly.</w:t>
      </w:r>
    </w:p>
    <w:p>
      <w:r>
        <w:t>III.G. Industrial Validation: CalculiX Configuration Generation, pp. 17–18; Fig. 5 → III.G. Engineering case presentation and report delivery. Present Figure 5 as the engineering field plate: three representative cases and two response quantities. Compare shared field scales within each row.</w:t>
      </w:r>
    </w:p>
    <w:p>
      <w:r>
        <w:t>IV. Conclusions, pp. 18–19 → IV. Conclusions. Conclusion 1 — Summarize the Skill-guided sequence connecting versioned bridge inputs to mesh verification, nonlinear solution and engineering-report generation.</w:t>
      </w:r>
    </w:p>
    <w:sectPr w:rsidR="00FC693F" w:rsidRPr="0006063C" w:rsidSect="00034616">
      <w:footerReference w:type="default" r:id="rId9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