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Skill-guided agentic finite element analysis for nonlinear static verification of bridge catwalks</w:t>
      </w:r>
    </w:p>
    <w:p>
      <w:r>
        <w:t>SCI manuscript framework | Adapted section and figure structure from FeaGPT | English draft outline</w:t>
      </w:r>
    </w:p>
    <w:p>
      <w:pPr>
        <w:pStyle w:val="Heading1"/>
      </w:pPr>
      <w:r>
        <w:t>Reference structure</w:t>
      </w:r>
    </w:p>
    <w:p>
      <w:r>
        <w:t>Qi, Y., Xu, R., and Chu, X. FeaGPT: an End-to-End agentic-AI for Finite Element Analysis. arXiv:2510.21993v1 (2025). https://arxiv.org/abs/2510.21993v1</w:t>
      </w:r>
    </w:p>
    <w:p>
      <w:r>
        <w:t>Working title and outline follow the reference paper’s end-to-end workflow, method modules, staged experiments and industrial demonstration. Engineering content is supplied by the catwalk Skill and the recorded six-case calculation.</w:t>
      </w:r>
    </w:p>
    <w:p>
      <w:pPr>
        <w:pStyle w:val="Heading1"/>
      </w:pPr>
      <w:r>
        <w:t>Abstract: sentence plan</w:t>
      </w:r>
    </w:p>
    <w:p>
      <w:r>
        <w:t>Context: automated verification of prestressed catwalk cable systems requires coordinated handling of model assets, load history, solver execution and engineering reports.</w:t>
      </w:r>
    </w:p>
    <w:p>
      <w:r>
        <w:t>Method: introduce the English Skill, versioned inputs, identity-preserving Gmsh reconstruction, nonlinear CalculiX execution and automatic field/report generation.</w:t>
      </w:r>
    </w:p>
    <w:p>
      <w:r>
        <w:t>Case: identify the Zhangjinggao Bridge catwalk model with 1,125 nodes, 1,194 elements and six dead/construction/wind/temperature combinations.</w:t>
      </w:r>
    </w:p>
    <w:p>
      <w:r>
        <w:t>Results: insert 0.859887% maximum displacement difference, 0.853551% bottom-cable span-force difference and 1.125518% portal-cable span-force difference; report matching peak nodes and the calculated safety-factor outcomes.</w:t>
      </w:r>
    </w:p>
    <w:p>
      <w:r>
        <w:t>Delivery: close with the reproducible solver evidence, 42 field plots and automatically formatted Word/PDF calculation report.</w:t>
      </w:r>
    </w:p>
    <w:p>
      <w:r>
        <w:t>Keywords: agentic finite element analysis; executable skills; bridge catwalk; nonlinear static analysis; Gmsh; CalculiX; reproducibility.</w:t>
      </w:r>
    </w:p>
    <w:p>
      <w:pPr>
        <w:pStyle w:val="Heading1"/>
      </w:pPr>
      <w:r>
        <w:t>I. Introduction</w:t>
      </w:r>
    </w:p>
    <w:p>
      <w:r>
        <w:t>Reference anchor: I. Introduction, pp. 1–2</w:t>
      </w:r>
    </w:p>
    <w:p>
      <w:r>
        <w:t>Paragraph 1 — Introduce agentic engineering workflows through the sequence used in FeaGPT: language-based task specification, tool execution and computational engineering results. Cite FeaGPT at the transition to finite element analysis.</w:t>
      </w:r>
    </w:p>
    <w:p>
      <w:r>
        <w:t>Paragraph 2 — Move from the reference aircraft/component setting to bridge catwalk verification. Describe the practical input chain: a prestressed INP model, six load combinations, an existing engineering report and a required reproducible calculation package.</w:t>
      </w:r>
    </w:p>
    <w:p>
      <w:r>
        <w:t>Paragraph 3 — Define the central workflow problem: preserving model identity, prestress, stepwise total loads and result-group definitions across automated execution. Use the P5 file-version/load-history episode as the motivating example.</w:t>
      </w:r>
    </w:p>
    <w:p>
      <w:r>
        <w:t>Paragraph 4 — Introduce the Skill as the executable analysis specification, then list the paper contributions in the reference order: structured task execution; Gmsh–CalculiX integration; six-case quantitative verification; automatic engineering-report delivery.</w:t>
      </w:r>
    </w:p>
    <w:p>
      <w:pPr>
        <w:pStyle w:val="Heading1"/>
      </w:pPr>
      <w:r>
        <w:t>II.A. System overview</w:t>
      </w:r>
    </w:p>
    <w:p>
      <w:r>
        <w:t>Reference anchor: II.A. System Overview, p. 3; Fig. 1</w:t>
      </w:r>
    </w:p>
    <w:p>
      <w:r>
        <w:t>Describe the four workflow modules and their file interfaces using Figure 1. The assistant reads the English Skill and invokes the packaged tools; each tool produces named, machine-readable evidence.</w:t>
      </w:r>
    </w:p>
    <w:p>
      <w:r>
        <w:t>Identify the model asset manifest, original PDF, benchmark JSON and font/style assets. Trace one request from asset verification to the report and raw solver package.</w:t>
      </w:r>
    </w:p>
    <w:p>
      <w:pPr>
        <w:pStyle w:val="Heading1"/>
      </w:pPr>
      <w:r>
        <w:t>II.B. Skill-guided planning and task orchestration</w:t>
      </w:r>
    </w:p>
    <w:p>
      <w:r>
        <w:t>Reference anchor: II.B. Engineering Analysis Planning and Task Orchestration, pp. 3–6; Algorithm 1</w:t>
      </w:r>
    </w:p>
    <w:p>
      <w:r>
        <w:t>Replace the reference geometry-design JSON with the catwalk task schema: input manifest, cases P1–P6, solver identity, units, execution stages, comparison criteria and report outputs.</w:t>
      </w:r>
    </w:p>
    <w:p>
      <w:r>
        <w:t>Present Algorithm 1 as the executable order: validate → reconstruct mesh → solve each case → read final fields → recover forces → compare → generate report → hash outputs. State the stage-specific completion conditions.</w:t>
      </w:r>
    </w:p>
    <w:p>
      <w:r>
        <w:t>For the planned GLM execution experiment, record provider/model identifier, request, tool calls, elapsed time, retries and final artifact status in a session log. Fill the model identifier from the actual run.</w:t>
      </w:r>
    </w:p>
    <w:p>
      <w:pPr>
        <w:pStyle w:val="Heading1"/>
      </w:pPr>
      <w:r>
        <w:t>II.C. Versioned model reconstruction and engineering knowledge</w:t>
      </w:r>
    </w:p>
    <w:p>
      <w:r>
        <w:t>Reference anchor: II.C. Intelligent Geometry Generation with Knowledge Augmentation, pp. 6–7; Fig. 2</w:t>
      </w:r>
    </w:p>
    <w:p>
      <w:r>
        <w:t>Describe reconstruction from the original coordinates and connectivity, followed by material/section/support audit. Use Figure 2 to connect global geometry, structural families and a local connection.</w:t>
      </w:r>
    </w:p>
    <w:p>
      <w:r>
        <w:t>Give the equivalent material values from the INP: MAT1/MAT2 E = 120 GPa, areas 22298.692/8402.9797 mm² and their equivalent densities; MAT3 E = 206 GPa, rectangular section 98.954535 × 98.954535 mm and near-zero assigned density.</w:t>
      </w:r>
    </w:p>
    <w:p>
      <w:r>
        <w:t>Describe 8,984 initial-stress records across 1,123 cable elements, the global tensor convention and the retained reference geometry. Link numerical values to the material table and asset hashes.</w:t>
      </w:r>
    </w:p>
    <w:p>
      <w:pPr>
        <w:pStyle w:val="Heading1"/>
      </w:pPr>
      <w:r>
        <w:t>II.D. Gmsh mesh generation and identity mapping</w:t>
      </w:r>
    </w:p>
    <w:p>
      <w:r>
        <w:t>Reference anchor: II.D. Adaptive Mesh Generation, pp. 7–8; Fig. 3; Table II</w:t>
      </w:r>
    </w:p>
    <w:p>
      <w:r>
        <w:t>Explain point/line creation from INP IDs, section physical groups, setTransfiniteCurve(eid, 2), first-order generate(1), and MSH 4.1 export.</w:t>
      </w:r>
    </w:p>
    <w:p>
      <w:r>
        <w:t>Distinguish geometric tags from mesh tags. Describe the explicit node/element mapping and checks: node count, element count, coordinates and ordered endpoints. Table II reports the measured mesh identity results.</w:t>
      </w:r>
    </w:p>
    <w:p>
      <w:pPr>
        <w:pStyle w:val="Heading1"/>
      </w:pPr>
      <w:r>
        <w:t>II.E. Nonlinear static analysis and load-history execution</w:t>
      </w:r>
    </w:p>
    <w:p>
      <w:r>
        <w:t>Reference anchor: II.E. Automated FEA Simulation and Analysis, pp. 8–9</w:t>
      </w:r>
    </w:p>
    <w:p>
      <w:r>
        <w:t>Write equilibrium as R(u, λ) = fint(u, σ0, T) − fext(λ) = 0. Describe geometric nonlinearity, initial prestress, gravity and prescribed supports within the planar X–Z system.</w:t>
      </w:r>
    </w:p>
    <w:p>
      <w:r>
        <w:t>State the six combinations in Table I. P1 contains one dead-load step; P2–P6 independently establish dead load before their target total combination. Explain the second-step CLOAD total convention, with P5 as the worked example.</w:t>
      </w:r>
    </w:p>
    <w:p>
      <w:r>
        <w:t>Give g = 9806 mm/s², alpha = 1.2e-5 /°C for P3/P6, temperature changes −15/−34°C and the 1,125 UY constraints. Identify the locked solver build and final-time checks.</w:t>
      </w:r>
    </w:p>
    <w:p>
      <w:pPr>
        <w:pStyle w:val="Heading1"/>
      </w:pPr>
      <w:r>
        <w:t>II.F. Field recovery and automated verification</w:t>
      </w:r>
    </w:p>
    <w:p>
      <w:r>
        <w:t>Reference anchor: II.F. Intelligent Data Analysis and Batch Processing, p. 9</w:t>
      </w:r>
    </w:p>
    <w:p>
      <w:r>
        <w:t>Define Umax = max sqrt(UX²+UY²+UZ²) over original nodes. Define the deformed chord n and recover N = A0 nᵀ σbar n / 1000 in kN, averaging the eight integration-point tensors.</w:t>
      </w:r>
    </w:p>
    <w:p>
      <w:r>
        <w:t>Define eight reporting span groups, their maxima and K = Nbreak/Nmax. Set Nbreak = 38080/14280 kN and give the case-specific K requirements.</w:t>
      </w:r>
    </w:p>
    <w:p>
      <w:r>
        <w:t>Define signed relative difference δ = 100(qcalc/qref − 1). Identify the independent MAPDL displacement source and the report force tables separately. Describe Figure 4 and the machine-readable evidence files.</w:t>
      </w:r>
    </w:p>
    <w:p>
      <w:pPr>
        <w:pStyle w:val="Heading1"/>
      </w:pPr>
      <w:r>
        <w:t>II.G. Reproducible batch execution and report generation</w:t>
      </w:r>
    </w:p>
    <w:p>
      <w:r>
        <w:t>Reference anchor: II.G. Scalable Batch Processing Architecture, pp. 9–10</w:t>
      </w:r>
    </w:p>
    <w:p>
      <w:r>
        <w:t>Describe independent case directories, common geometry audit, recorded solver commands, failure preservation and per-stage status.</w:t>
      </w:r>
    </w:p>
    <w:p>
      <w:r>
        <w:t>Trace one final response value into CSV, VTU, PNG and the engineering report. Describe the shared result model used for Word/PDF and the style/font assets reproducing the reference report.</w:t>
      </w:r>
    </w:p>
    <w:p>
      <w:r>
        <w:t>State the deliverable structure: six solved cases, 42 field plots, comparison data, Gmsh mapping, hashes and a 17-page engineering report in both formats.</w:t>
      </w:r>
    </w:p>
    <w:p>
      <w:pPr>
        <w:pStyle w:val="Heading1"/>
      </w:pPr>
      <w:r>
        <w:t>III.A. Task specification and six-case execution</w:t>
      </w:r>
    </w:p>
    <w:p>
      <w:r>
        <w:t>Reference anchor: III.A. Natural Language Input and System Understanding, p. 11; Table I</w:t>
      </w:r>
    </w:p>
    <w:p>
      <w:r>
        <w:t>Present the task request and its mapped case/output specification. Table I enumerates the six combinations and required safety factors.</w:t>
      </w:r>
    </w:p>
    <w:p>
      <w:r>
        <w:t>For the GLM session, insert the recorded model ID and stage-completion log. Report execution and retry counts from that log.</w:t>
      </w:r>
    </w:p>
    <w:p>
      <w:pPr>
        <w:pStyle w:val="Heading1"/>
      </w:pPr>
      <w:r>
        <w:t>III.B. Model reconstruction results</w:t>
      </w:r>
    </w:p>
    <w:p>
      <w:r>
        <w:t>Reference anchor: III.B. Geometry Generation Results, pp. 11–12; Fig. 2</w:t>
      </w:r>
    </w:p>
    <w:p>
      <w:r>
        <w:t>Report 1,125 original nodes, 1,123 T3D2 cable elements and 71 B31 equivalent members. Show the complete geometry and member assignments in Figure 2.</w:t>
      </w:r>
    </w:p>
    <w:p>
      <w:r>
        <w:t>Report the common geometric/physical definitions across cases and the preserved initial-stress record count.</w:t>
      </w:r>
    </w:p>
    <w:p>
      <w:pPr>
        <w:pStyle w:val="Heading1"/>
      </w:pPr>
      <w:r>
        <w:t>III.C. Mesh identity and mapping results</w:t>
      </w:r>
    </w:p>
    <w:p>
      <w:r>
        <w:t>Reference anchor: III.C. Mesh Generation and Quality Analysis, pp. 12–13; Table II; Fig. 3</w:t>
      </w:r>
    </w:p>
    <w:p>
      <w:r>
        <w:t>Report identical node/element counts, zero coordinate discrepancy and matching ordered connectivity between the input and the Gmsh mesh. Use the local inset to display the mapping.</w:t>
      </w:r>
    </w:p>
    <w:p>
      <w:r>
        <w:t>Explain how this identity connects solved fields to the displayed geometry and reporting groups.</w:t>
      </w:r>
    </w:p>
    <w:p>
      <w:pPr>
        <w:pStyle w:val="Heading1"/>
      </w:pPr>
      <w:r>
        <w:t>III.D. Nonlinear response and benchmark comparison</w:t>
      </w:r>
    </w:p>
    <w:p>
      <w:r>
        <w:t>Reference anchor: III.D. FEA Simulation and Results Analysis, p. 14; Table III</w:t>
      </w:r>
    </w:p>
    <w:p>
      <w:r>
        <w:t>Report completion of all six cases and matching peak-displacement node IDs. Present the six numerical rows in Table III.</w:t>
      </w:r>
    </w:p>
    <w:p>
      <w:r>
        <w:t>Give maximum absolute differences: displacement 0.859887%, bottom-cable span force 0.853551% and portal-cable span force 1.125518%. Identify the controlling case/span from the supplied evidence table.</w:t>
      </w:r>
    </w:p>
    <w:p>
      <w:r>
        <w:t>Discuss P4 as the largest peak-displacement response, P5 peak at node 306, and the P3/P6 cooling responses using the solved fields.</w:t>
      </w:r>
    </w:p>
    <w:p>
      <w:pPr>
        <w:pStyle w:val="Heading1"/>
      </w:pPr>
      <w:r>
        <w:t>III.E. Cable response interpretation and safety assessment</w:t>
      </w:r>
    </w:p>
    <w:p>
      <w:r>
        <w:t>Reference anchor: III.E. Intelligent Result Analysis and Autonomous Design Evaluation, pp. 14–16; Fig. 4</w:t>
      </w:r>
    </w:p>
    <w:p>
      <w:r>
        <w:t>Follow the four panels in order: global displacement agreement, span-force agreement, cable safety factors and the spatial/case distribution of signed differences.</w:t>
      </w:r>
    </w:p>
    <w:p>
      <w:r>
        <w:t>Compare the governing bottom/portal factors by case with Table I requirements. Use the heatmap to locate differences while retaining cable family and span identity.</w:t>
      </w:r>
    </w:p>
    <w:p>
      <w:r>
        <w:t>Explain the load-history correction through the P5 input audit: second-step total nodal load includes the first-step permanent contribution. Connect the input definition with the current node-306 downward response.</w:t>
      </w:r>
    </w:p>
    <w:p>
      <w:pPr>
        <w:pStyle w:val="Heading1"/>
      </w:pPr>
      <w:r>
        <w:t>III.F. Execution performance and automation accounting</w:t>
      </w:r>
    </w:p>
    <w:p>
      <w:r>
        <w:t>Reference anchor: III.F. Computational Performance and Scalability, pp. 16–17</w:t>
      </w:r>
    </w:p>
    <w:p>
      <w:r>
        <w:t>Report the recorded solver wall times by case and their sum, with Python/platform/solver identity. Label timing boundaries explicitly.</w:t>
      </w:r>
    </w:p>
    <w:p>
      <w:r>
        <w:t>Add the planned GLM session measurements in a separate table: planning time, tool time, report-generation time, total session time, token usage when exposed by the provider, retries and completion count.</w:t>
      </w:r>
    </w:p>
    <w:p>
      <w:r>
        <w:t>For repeated-session evaluation, use the same six inputs and output contract; record each session independently before calculating completion rate and timing distributions.</w:t>
      </w:r>
    </w:p>
    <w:p>
      <w:pPr>
        <w:pStyle w:val="Heading1"/>
      </w:pPr>
      <w:r>
        <w:t>III.G. Engineering case presentation and report delivery</w:t>
      </w:r>
    </w:p>
    <w:p>
      <w:r>
        <w:t>Reference anchor: III.G. Industrial Validation: CalculiX Configuration Generation, pp. 17–18; Fig. 5</w:t>
      </w:r>
    </w:p>
    <w:p>
      <w:r>
        <w:t>Present Figure 5 as the engineering field plate: three representative cases and two response quantities. Compare shared field scales within each row.</w:t>
      </w:r>
    </w:p>
    <w:p>
      <w:r>
        <w:t>Show how the prescribed report style is generated from the same result set, and point to the supplementary six-case contour plates, Word/PDF report and raw result archive.</w:t>
      </w:r>
    </w:p>
    <w:p>
      <w:pPr>
        <w:pStyle w:val="Heading1"/>
      </w:pPr>
      <w:r>
        <w:t>IV. Conclusions</w:t>
      </w:r>
    </w:p>
    <w:p>
      <w:r>
        <w:t>Reference anchor: IV. Conclusions, pp. 18–19</w:t>
      </w:r>
    </w:p>
    <w:p>
      <w:r>
        <w:t>Conclusion 1 — Summarize the Skill-guided sequence connecting versioned bridge inputs to mesh verification, nonlinear solution and engineering-report generation.</w:t>
      </w:r>
    </w:p>
    <w:p>
      <w:r>
        <w:t>Conclusion 2 — State the measured mesh identity and six-case response differences with their actual values.</w:t>
      </w:r>
    </w:p>
    <w:p>
      <w:r>
        <w:t>Conclusion 3 — State the cable safety-factor outcomes and delivered evidence package. Add session-level GLM findings after inserting the measured session table.</w:t>
      </w:r>
    </w:p>
    <w:p>
      <w:r>
        <w:br w:type="page"/>
      </w:r>
    </w:p>
    <w:p>
      <w:pPr>
        <w:pStyle w:val="Heading1"/>
      </w:pPr>
      <w:r>
        <w:t>Table I. Case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sz w:val="18"/>
              </w:rPr>
              <w:t>Case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Combination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Steps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ΔT / °C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Required K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Dead load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3.2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Dead + construction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2.7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Dead + construction + cooling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-15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2.7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Dead + construction + wind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2.7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Dead + maximum gust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2.5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Dead + construction + cooling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-34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2.7</w:t>
            </w:r>
          </w:p>
        </w:tc>
      </w:tr>
    </w:tbl>
    <w:p>
      <w:pPr>
        <w:pStyle w:val="Heading1"/>
      </w:pPr>
      <w:r>
        <w:t>Table II. Mesh and model identity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18"/>
              </w:rPr>
              <w:t>Metric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Recorded value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Original / Gmsh nodes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1125 / 1125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Original / Gmsh line elements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1194 / 1194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Structural element families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1123 T3D2 + 71 B31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Coordinate discrepancy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0 mm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Ordered connectivity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All 1194 elements match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Initial-stress records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8984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Reporting span groups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4 bottom + 4 portal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Reported-span cable elements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1113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Original-node planar constraints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1125 UY constraints</w:t>
            </w:r>
          </w:p>
        </w:tc>
      </w:tr>
    </w:tbl>
    <w:p>
      <w:pPr>
        <w:pStyle w:val="Heading1"/>
      </w:pPr>
      <w:r>
        <w:t>Table III. Six-case response and solver timing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8"/>
              </w:rPr>
              <w:t>Case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Umax/mm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Node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δU/%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K bottom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K portal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Solver/s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42.259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-0.7494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3.3165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4.0135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0.768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2662.041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1176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-0.8491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3.0165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3.5671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1.777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1897.223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1176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-0.6696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3.0056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3.5574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1.822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2846.280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1176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-0.8599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2.9895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3.5268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1.870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1325.314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-0.7830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3.1873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3.8802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1.724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927.260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1166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-0.0166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2.9464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3.4677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1.672</w:t>
            </w:r>
          </w:p>
        </w:tc>
      </w:tr>
    </w:tbl>
    <w:p>
      <w:r>
        <w:t>Recorded solver wall time summed across six sequential cases: 9.633834 s. Timing source: examples/run.json, executions[].elapsed_s; timing covers the solver subprocess. Run ID: 20261006T174516Z.</w:t>
      </w:r>
    </w:p>
    <w:p>
      <w:pPr>
        <w:pStyle w:val="Heading1"/>
      </w:pPr>
      <w:r>
        <w:t>Algorithm 1. Skill-guided execution</w:t>
      </w:r>
    </w:p>
    <w:p>
      <w:r>
        <w:t>1. Read task and resolve the versioned six-case manifest.</w:t>
      </w:r>
    </w:p>
    <w:p>
      <w:r>
        <w:t>2. Verify asset hashes and audit material, section, prestress, load and support cards.</w:t>
      </w:r>
    </w:p>
    <w:p>
      <w:r>
        <w:t>3. Regenerate the Gmsh line mesh and verify original-to-mesh identity.</w:t>
      </w:r>
    </w:p>
    <w:p>
      <w:r>
        <w:t>4. For each case P1–P6: copy its complete INP into a new case directory and execute the recorded solver command.</w:t>
      </w:r>
    </w:p>
    <w:p>
      <w:r>
        <w:t>5. Validate final step/time and complete finite U/S fields.</w:t>
      </w:r>
    </w:p>
    <w:p>
      <w:r>
        <w:t>6. Recover deformed-chord cable forces; evaluate span maxima, safety factors and benchmark differences.</w:t>
      </w:r>
    </w:p>
    <w:p>
      <w:r>
        <w:t>7. Write CSV, VTU and seven field plots per case.</w:t>
      </w:r>
    </w:p>
    <w:p>
      <w:r>
        <w:t>8. Generate the Chinese engineering report from the common result object and prescribed style assets.</w:t>
      </w:r>
    </w:p>
    <w:p>
      <w:r>
        <w:t>9. Write execution status and output hashes; return the report and evidence links.</w:t>
      </w:r>
    </w:p>
    <w:p>
      <w:pPr>
        <w:pStyle w:val="Heading1"/>
      </w:pPr>
      <w:r>
        <w:t>Planned GLM session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18"/>
              </w:rPr>
              <w:t>Field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Value source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Provider/model/version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Actual GLM session metadata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Request and tool trace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Saved request and tool-call log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Planning / tools / report / total time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Session stage timestamps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Token usage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Provider usage record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Retries and completed stages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Execution log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Repeated-session completion rate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Completed sessions / attempted sessions</w:t>
            </w:r>
          </w:p>
        </w:tc>
      </w:tr>
    </w:tbl>
    <w:p>
      <w:pPr>
        <w:pStyle w:val="Heading1"/>
      </w:pPr>
      <w:r>
        <w:t>Figure list and captions</w:t>
      </w:r>
    </w:p>
    <w:p>
      <w:pPr>
        <w:pStyle w:val="Heading2"/>
      </w:pPr>
      <w:r>
        <w:t>Figure 1</w:t>
      </w:r>
    </w:p>
    <w:p>
      <w:r>
        <w:t>Figure 1. Skill-guided workflow for nonlinear static verification of the catwalk cable system, connecting versioned inputs, mesh verification, finite element solution, field recovery and engineering-report generation.</w:t>
      </w:r>
    </w:p>
    <w:p>
      <w:r>
        <w:t>Panel construction: Keep the left-to-right request-to-result composition and the knowledge block above the workflow. Replace the aircraft request with the catwalk INP set and reference report. Use four module boxes: input/model audit; Gmsh topology reconstruction; nonlinear CalculiX execution; field recovery and report generation. Add the manifest, Skill and benchmark assets above, and the Word/PDF/CSV/VTU outputs at the return arrow.</w:t>
      </w:r>
    </w:p>
    <w:p>
      <w:pPr>
        <w:pStyle w:val="Heading2"/>
      </w:pPr>
      <w:r>
        <w:t>Figure 2</w:t>
      </w:r>
    </w:p>
    <w:p>
      <w:r>
        <w:t>Figure 2. Catwalk finite element model: (a) longitudinal profile and control points; (b) cable families and equivalent members; (c) a portal connection with element assignments and boundary conditions.</w:t>
      </w:r>
    </w:p>
    <w:p>
      <w:r>
        <w:t>Panel construction: Retain three panels and the global-to-local zoom. Panel (a): full X–Z catwalk profile and control points. Panel (b): bottom cables, portal cables and equivalent members in three colors. Panel (c): enlarged portal/cable connection with original node and element IDs, material assignments and supports. Draw geometry directly from the INP coordinates.</w:t>
      </w:r>
    </w:p>
    <w:p>
      <w:pPr>
        <w:pStyle w:val="Heading2"/>
      </w:pPr>
      <w:r>
        <w:t>Figure 3</w:t>
      </w:r>
    </w:p>
    <w:p>
      <w:r>
        <w:t>Figure 3. Mesh reconstruction and field transfer: (a) Gmsh mesh and original-input tag correspondence; (b) P5 bottom-cable axial-force distribution on the verified line mesh.</w:t>
      </w:r>
    </w:p>
    <w:p>
      <w:r>
        <w:t>Panel construction: Retain the two main panels and inset. Panel (a): original/Gmsh line mesh overlay with an enlarged tag-mapping detail. Annotate 1,125 nodes, 1,194 elements and zero coordinate discrepancy. Panel (b): P5 axial-force line contour using the same geometry; show kN, span group and governing element. Draw only line elements.</w:t>
      </w:r>
    </w:p>
    <w:p>
      <w:pPr>
        <w:pStyle w:val="Heading2"/>
      </w:pPr>
      <w:r>
        <w:t>Figure 4</w:t>
      </w:r>
    </w:p>
    <w:p>
      <w:r>
        <w:t>Figure 4. Six-case verification: (a) maximum displacement compared with MAPDL; (b) 48 span-force comparisons with the engineering report; (c) minimum span safety factors and required values; (d) signed force differences by case and span.</w:t>
      </w:r>
    </w:p>
    <w:p>
      <w:r>
        <w:t>Panel construction: Keep the 2×2 evidence layout. Panel (a): six-case CalculiX/MAPDL peak-displacement bars. Panel (b): parity scatter for 48 report/calculated span-force pairs, distinguished by cable family. Panel (c): minimum four-span safety factor by family and case with required values. Panel (d): signed relative-error heatmap for six cases × eight span groups. Use the actual summary JSON for every point.</w:t>
      </w:r>
    </w:p>
    <w:p>
      <w:r>
        <w:drawing>
          <wp:inline xmlns:a="http://schemas.openxmlformats.org/drawingml/2006/main" xmlns:pic="http://schemas.openxmlformats.org/drawingml/2006/picture">
            <wp:extent cx="6035040" cy="430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_six_case_verifi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0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B/P = bottom/portal cables; N/M/S/A = north side/main/south side/south auxiliary span.</w:t>
      </w:r>
    </w:p>
    <w:p>
      <w:pPr>
        <w:pStyle w:val="Heading2"/>
      </w:pPr>
      <w:r>
        <w:t>Figure 5</w:t>
      </w:r>
    </w:p>
    <w:p>
      <w:r>
        <w:t>Figure 5. Representative field responses under dead load, maximum gust and cooling: upper row, vertical displacement; lower row, bottom-cable axial force. Columns correspond to P1, P5 and P6.</w:t>
      </w:r>
    </w:p>
    <w:p>
      <w:r>
        <w:t>Panel construction: Keep six panels, arranged as three columns × two rows. Columns: P1 dead load, P5 maximum gust and P6 cooling. Upper row: signed UZ. Lower row: bottom-cable axial force. Use common limits within each field row, label mm/kN, and annotate the relevant extreme node/element. Place all six load cases in supplementary field plates using the same settings.</w:t>
      </w:r>
    </w:p>
    <w:p>
      <w:pPr>
        <w:pStyle w:val="Heading1"/>
      </w:pPr>
      <w:r>
        <w:t>Supplementary material</w:t>
      </w:r>
    </w:p>
    <w:p>
      <w:r>
        <w:t>S1: English Skill, seven execution references, source scripts and environment requirements.</w:t>
      </w:r>
    </w:p>
    <w:p>
      <w:r>
        <w:t>S2: Input manifest, asset hashes, material/load audits and Gmsh mapping.</w:t>
      </w:r>
    </w:p>
    <w:p>
      <w:r>
        <w:t>S3: Complete 48-row span-force comparison and six-case displacement table.</w:t>
      </w:r>
    </w:p>
    <w:p>
      <w:r>
        <w:t>S4: Six-case solver logs, DAT/FRD/STA, CSV/VTU and 42 field plots.</w:t>
      </w:r>
    </w:p>
    <w:p>
      <w:r>
        <w:t>S5: Generated Word/PDF engineering report and typography specification.</w:t>
      </w:r>
    </w:p>
    <w:p>
      <w:r>
        <w:t>S6: GLM session trace and repeated-session measurements, populated from the planned execution experiment.</w:t>
      </w:r>
    </w:p>
    <w:p>
      <w:pPr>
        <w:pStyle w:val="Heading1"/>
      </w:pPr>
      <w:r>
        <w:t>References and data provenance</w:t>
      </w:r>
    </w:p>
    <w:p>
      <w:r>
        <w:t>Qi, Y., Xu, R., and Chu, X. FeaGPT: an End-to-End agentic-AI for Finite Element Analysis. arXiv:2510.21993v1 (2025). https://arxiv.org/abs/2510.21993v1</w:t>
      </w:r>
    </w:p>
    <w:p>
      <w:r>
        <w:t>Zhangjinggao Yangtze River Bridge, South Navigation Channel Bridge: Catwalk Structural Review Calculation Report, version 0324, 118 pages. Project-supplied PDF; force benchmarks from Tables 1-11 and 1-14, safety-factor criteria from Table 1-7.</w:t>
      </w:r>
    </w:p>
    <w:p>
      <w:r>
        <w:t>Catwalk static review Skill v1.2.0. Numerical evidence: examples/summary.json, examples/comparison.csv and examples/run.json. Input, solver and PDF identities are recorded in the package manifests.</w:t>
      </w:r>
    </w:p>
    <w:sectPr w:rsidR="00FC693F" w:rsidRPr="0006063C" w:rsidSect="00034616">
      <w:footerReference w:type="default" r:id="rId9"/>
      <w:pgSz w:w="12240" w:h="15840"/>
      <w:pgMar w:top="1037" w:right="1080" w:bottom="1037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