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4E0" w:rsidRPr="009274E0" w:rsidRDefault="009274E0" w:rsidP="0092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bookmarkStart w:id="0" w:name="_GoBack"/>
      <w:bookmarkEnd w:id="0"/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t>18-Nov-2013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>Dear Prof. de Moraes Cruz: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>I am sorry to inform you that your paper "A System for Measuring</w:t>
      </w:r>
      <w:r w:rsidRPr="009274E0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　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t>Rotational Eye Movement under Blue Light Irradiation</w:t>
      </w:r>
      <w:r w:rsidRPr="009274E0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　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t>by Tracking Conjunctival Blood Vessel End" is not accepted for the</w:t>
      </w:r>
      <w:r w:rsidRPr="009274E0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　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t>publication in the Special Section on Advanced Image Sensor Technology</w:t>
      </w:r>
      <w:r w:rsidRPr="009274E0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　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t>of MTA.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>The reviewer's comments are attached in the end of this mail.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>Although your paper is not accepted in the Special Section, I would</w:t>
      </w:r>
      <w:r w:rsidRPr="009274E0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　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t>like to strongly recommend you to revise the paper according to the</w:t>
      </w:r>
      <w:r w:rsidRPr="009274E0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　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t>reviewer's comments and resubmit it to MTA again.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>In this case, the revised paper will be processed as a contributed</w:t>
      </w:r>
      <w:r w:rsidRPr="009274E0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　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t>paper not for the Special Section.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>Thank you for your submission in MTA.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>Sincerely,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>Dr. Shoji Kawahito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>Editor in Chief, ITE Transactions on Media Technology and Applications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>EIC-AIST@ite.or.jp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>Reviewer(s)' Comments to Author: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>Reviewer: 1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>Comments to the Author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>You show, The upper waveform VSN represents the sense-node signal under five different levels of illumination. Why do you use 5 different level? Please show the meaning of 5 level.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>You show that, the simulation results have shown reduction better than 80% of the FPN across the array throughout the complete illumination range, in the low illumination range, the FPN ca be reduced to better than 80%.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>You have to describe mechanism the reason of why reduction of FPN.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>In Fig.4, You have to explain the meaning of V1 and V2.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>In Fig 5,6,7,8,9,10, you have to explain Iph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>In Fig 10, You have to explain the definition of FPN rate.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In your architecture, You have to explain how RDR contributed for whether being a low noise in the pixel circuit as compared with the former effectively. 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You have to explain the definition of various noise, for example, 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Does it have influence of FPN of the Vth variation of a pixel sauce follower? 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>Does the influence of the capacity for parasitism in ? column circuit have influence</w:t>
      </w:r>
      <w:r w:rsidRPr="009274E0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　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t xml:space="preserve">of the noise of a Vth reason? 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By 3Tr type, the reset noise remains after CDS. 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There is no explanation. 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>Reviewer: 2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>Comments to the Author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This paper describes FPN reduction techniques for logarithmic or linear-log 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CMOS image sensors. However, it seems to have a significant flaw. 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The proposed techque using a reference lelvel to reduce the FPN is effective 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only for the FPN due to M3, but not for M1.  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The reason why the simulation result of the FPN after correction is as small as 3mV is not clear, as the FPN due to M1 is not cancelled. </w:t>
      </w:r>
      <w:r w:rsidRPr="009274E0">
        <w:rPr>
          <w:rFonts w:ascii="Courier New" w:eastAsia="Times New Roman" w:hAnsi="Courier New" w:cs="Courier New"/>
          <w:sz w:val="20"/>
          <w:szCs w:val="20"/>
          <w:lang w:val="en-US"/>
        </w:rPr>
        <w:br/>
        <w:t>The linear-log type CMOS image sensor has a large FPN at the switching point between linear and log regions.  The proposed technique does not care about this problem.</w:t>
      </w:r>
    </w:p>
    <w:p w:rsidR="00AD75E9" w:rsidRDefault="00AD75E9"/>
    <w:sectPr w:rsidR="00AD7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Noto Sans CJK JP Regular"/>
    <w:panose1 w:val="02020609040205080304"/>
    <w:charset w:val="80"/>
    <w:family w:val="modern"/>
    <w:pitch w:val="fixed"/>
    <w:sig w:usb0="00000000" w:usb1="6AC7FDFB" w:usb2="00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C89"/>
    <w:rsid w:val="009274E0"/>
    <w:rsid w:val="00AD75E9"/>
    <w:rsid w:val="00D87EB6"/>
    <w:rsid w:val="00DC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F56133-C34C-0046-AF87-5D2EED87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27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274E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Cruz</dc:creator>
  <cp:keywords/>
  <dc:description/>
  <cp:lastModifiedBy>Usuário Convidado</cp:lastModifiedBy>
  <cp:revision>2</cp:revision>
  <dcterms:created xsi:type="dcterms:W3CDTF">2019-05-30T12:22:00Z</dcterms:created>
  <dcterms:modified xsi:type="dcterms:W3CDTF">2019-05-30T12:22:00Z</dcterms:modified>
</cp:coreProperties>
</file>