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18/11/2025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Walked through the six-class unified schema. Supervisor approved the mapping and asked me to keep a small held-out slice of RICO for later diagnostic use.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walked through the six-class unified schema and the RICO-to-CLAY collapse mapping. The mapping was approved. The supervisor also asked me to keep a small held-out slice of RICO (about 500 screens) untouched for later diagnostic work, so I updated the pipeline design to carve that out first. The rest of the week went into writing the first version of the data pipeline as a Colab notebook (01_pull_and_data.ipynb). It reads the raw RICO plus CLAY annotations, applies the class-collapse mapping, and writes out a unified train/val/test split in YOLO format on Drive. The first run assembled about 62k training images.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sanity-check the unified split visually (spot-check bounding boxes on a hundred images) and start the first source-model training run.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25/11/2025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