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02/12/2025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Tuesday. Reviewed the training-config plan (YOLOv8s, thirty epochs, imgsz 640, AdamW). Supervisor approved and asked me to log wall-clock time carefully for the compute-budget analysis.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I met the supervisor on Tuesday and we agreed on the training config: YOLOv8s backbone (small, fits on a T4), thirty epochs, imgsz 640, AdamW optimiser, batch 16, default augmentation. The supervisor asked me to log wall-clock time carefully so later I can do a compute-budget-normalised comparison between backbones (this becomes RQ3). I started the full training run on Wednesday. It took the whole week to finish because Colab Free disconnected twice and I had to resume from the last checkpoint. Final mAP@0.5 on the val split is 0.450, mAP@0.5:0.95 is 0.350. The exported ONNX weight file is about 42 MB.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set up the 15-task evaluation suite skeleton so I have something concrete to point the trained detector at.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09/12/2025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