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24/03/2026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Reviewed the SSP corpus stats (1600 images across 14 apps). Approved to kick off pre-training. Supervisor also asked me to think about UDA (Adaptive Teacher, SHOT) as a stretch goal.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reviewed the corpus stats for SSP (1600 images across 14 apps). Approved to kick off pre-training. The supervisor also asked me to think about whether the two UDA methods (Adaptive Teacher, SHOT) could fit into Phase 2 as a stretch goal, or whether they should be future work. I said I would try, budget permitting. The SSP pre-training ran on Colab from Wednesday to Friday (about twenty hours total, including one disconnect and resume). SSP loss curve looks reasonable: the SimSiam-style contrastive loss dropped from about zero to around minus 0.66 over ten epochs and started to saturate.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fine-tune the SSP-pretrained backbone on the hand-corrected eight-image set at k=1 and k=8, so it plugs directly into the sample-efficiency comparison.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31/03/2026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