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19/05/2026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Presented the four-method TSR and the Phase 1 evidence bundle. Supervisor asked me to make sure the '22-fold' auto-label mAP inflation is documented as a real risk that was mitigated, not swept under the rug.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presented two things: the four-method TSR (template 46.7, ocr-only 33.3, pywinauto 6.7, VisClick 73.3) and the Phase 1 evidence bundle. The hardware spec (Windows 11 Enterprise 22631, Intel Core Ultra 5 135H, 32 GB, Intel Arc iGPU, 1920x1080), the detector-only ONNX benchmark (median 67.81 ms, p95 79.02 ms over 50 runs), the peak RSS (212 MB detector-only, 764 MB after EasyOCR warm-up), and the R-FR / R-NFR requirements-evidence table. Supervisor asked me to be explicit in the report about the auto-label mAP inflation issue (the 22-fold overstatement I hit early on) so it reads as a mitigated risk rather than a hidden bug. I updated the risk register in the data form.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is Phase 4 kick-off. I plan to commit to the Phase 4 triple: DETR baseline, few-shot curve rerun with the newer protocol, and SSP+FT proper. UDA is a stretch goal.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26/05/2026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