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16/06/2026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Discussed the option of moving the heavy runs to a local H100 machine I have access to at work. Supervisor said yes if I can document the compute environment clearly.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floated the idea of moving the heavy Phase 4 runs (SSP proper and the two UDA methods) off Colab and onto a local H100 GPU machine that I have access to at work. The supervisor said yes as long as I document the compute environment clearly in Chapter 6 (hardware spec, driver versions, exact commands), so the results stay reproducible for the second marker. I confirmed the machine (us01odc-sc4-1-gpu064) has an H100 and the Ultralytics stack installs cleanly there. The few-shot curve did run on Colab this week: results plug back into sample_efficiency.csv and produce a slightly cleaner curve than the earlier Phase 2 pass (same shape, tighter numbers because the k=0 anchor was corrected).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get the SSP+FT full run and the first UDA experiment (Adaptive Teacher, D-03) running on the H100.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23/06/2026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