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648" w:right="936" w:bottom="648" w:left="936" w:header="720" w:footer="720" w:gutter="0"/>
      <w:cols w:space="720"/>
      <w:docGrid w:linePitch="360"/>
    </w:sectPr>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23/09/2025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for the project kick-off. Agreed on the broad problem area (cross-domain GUI automation) and on submitting a proposal by</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was the kick-off week of the project. I met the supervisor on Tuesday and we agreed on a broad problem area: cross-domain GUI automation, with a specific focus on adapting mobile-trained detectors to desktop screenshots. I spent the rest of the week on background reading. I skimmed the classical automation tools (SikuliX, AutoIt, PyAutoGUI, pywinauto) so I could understand what the state of practice looks like on Windows, and started a</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finish the initial paper shortlist and read the two most cited items on it, so I can start narrowing the research gap for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30/09/2025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 name="Picture 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30/09/2025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mostly reading. I went through the RICO paper (Deka et al., 2017) and the CLAY paper (Li et al., 2022a) end to end. Both are mobile UI datasets, and the class taxonomies do not line up cleanly, which is going to be a real problem later when I want to train a single detector. I also read the IVGocr paper on instruction-visual-grounding for desktop UIs, which is the closest</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want to discuss the rough problem statement with the supervisor and get feedback before I start writing the formal proposal.</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07/10/2025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 name="Picture 2"/>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07/10/2025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Walked through my rough problem statement and the four candidate research questions. Supervisor asked me to sharpen RQ1 and</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walked through the rough problem statement. Feedback was that the direction is fine but RQ1 was too broad, and that the proposal should have an explicit compute-budget constraint from day one so the scope stays realistic for a single-person MSc project. After the meeting I revised RQ1 to focus specifically on the mobile-to-desktop shift and drafted RQ2, RQ3, RQ4 covering sample efficiency, backbone choice, and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start writing the proposal itself, beginning with the background and literature sections.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14/10/2025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 name="Picture 3"/>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14/10/2025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I drafted the first half of the proposal document. The background section is done, the research-gap statement is done, and the four research questions are written up with a short paragraph each. I also drafted the methodology section at the outline level: design-science research as the overall frame, a Waterfall-with-iteration development process, and PRINCE2 as the project-management framework. The last two choices came out of the Research Methods module (CMM708)</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want to finish the methodology section and start on the project plan and Gantt chart so the whole proposal is close to a complete first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21/10/2025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 name="Picture 4"/>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21/10/2025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Went over the RQs and the four-phase project plan. Supervisor approved the RQs and suggested I add a risk</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went through the four research questions and the four-phase project plan. The RQs were approved as they stand. The supervisor suggested adding a risk register to the proposal so the supervisor and the second marker can see up front what could go wrong, and how I plan to respond. I spent the rest of the week finishing the methodology section, adding the risk register (twelve</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polish the proposal, get one internal read-through, and submit it by early November.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28/10/2025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5" name="Picture 5"/>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28/10/2025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proposal polish. I re-read the whole draft twice, cleaned up the references (about twenty entries at this stage), and reformatted the risk register into a proper table. I also tightened the section on datasets, because the RICO-CLAY class mismatch is a real project risk and it deserved more than one sentence in the proposal. I submitted the final proposal on Sunday, 2 November 2025. Title: 'Cross-Domain Machine Learning Framework</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want to start Phase 1 (data engineering) as soon as I have the go-ahead from the supervisor.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04/11/2025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6" name="Picture 6"/>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04/11/2025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Proposal is approved. Kicked off Phase 1 (data engineering) and agreed to focus first on the RICO plus CLAY</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The proposal was approved this week and the supervisor gave me the go-ahead to start Phase 1 (data engineering). I spent the week setting up the Colab environment (Free tier T4 GPU), mounting Google Drive for dataset storage, and downloading the raw RICO dataset (72k Android screens) and the CLAY dataset (the 60k denoised RICO subset with cleaner labels). Both are large enough that just the download took a full day. I</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explore the two dataset taxonomies and design a class-collapse mapping so the two can be trained on as a single unified corpus.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11/11/2025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7" name="Picture 7"/>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11/11/2025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I focused on the class-taxonomy problem. RICO uses a 27-class taxonomy (buttons, icons, text-view, image-view, list elements, and so on) and CLAY uses a 15-class one that is cleaner but still not desktop-friendly. Neither taxonomy has 'menu' or 'checkbox' as first-class labels, which are essential for Windows UIs. I spent the week mapping every RICO and CLAY class onto a proposed six-class unified schema: button, text_input, text, icon, menu, checkbox.</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review the class-collapse mapping with the supervisor and, if approved, start writing the actual data pipeline.</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18/11/2025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8" name="Picture 8"/>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18/11/2025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Walked through the six-class unified schema. Supervisor approved the mapping and asked me to keep a small held-out slice</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walked through the six-class unified schema and the RICO-to-CLAY collapse mapping. The mapping was approved. The supervisor also asked me to keep a small held-out slice of RICO (about 500 screens) untouched for later diagnostic work, so I updated the pipeline design to carve that out first. The rest of the week went into writing the first version of the data pipeline as a Colab</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sanity-check the unified split visually (spot-check bounding boxes on a hundred images) and start the first source-model training run.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25/11/2025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9" name="Picture 9"/>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25/11/2025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the visual sanity-check pass on the unified split. I wrote a small script that draws the bounding boxes on a random hundred images and asked me to click 'looks right' or 'looks wrong'. About ninety-two out of a hundred looked right, which is acceptable given how noisy the RICO labels are known to be. The problems were mostly text-vs-text_input confusion, which was expected. I also started writing the source-model</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run the first full source-model training (thirty epochs) once I have the hyperparameters set.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02/12/2025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0" name="Picture 10"/>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02/12/2025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Reviewed the training-config plan (YOLOv8s, thirty epochs, imgsz 640, AdamW). Supervisor approved and asked me to log wall-clock time</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we agreed on the training config: YOLOv8s backbone (small, fits on a T4), thirty epochs, imgsz 640, AdamW optimiser, batch 16, default augmentation. The supervisor asked me to log wall-clock time carefully so later I can do a compute-budget-normalised comparison between backbones (this becomes RQ3). I started the full training run on Wednesday. It took the whole week to finish because Colab Free disconnected twice</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set up the 15-task evaluation suite skeleton so I have something concrete to point the trained detector at.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09/12/2025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1" name="Picture 1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09/12/2025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split between coursework and project work. CMM704 (Data Mining) had a coursework deadline on Friday, so the first three days went to that. From Thursday onwards I started designing the 15-task evaluation suite. Each task is a single natural-language instruction (like 'click the Save button', 'open the File menu') pointing at a specific dialog or window on Windows 11. I drafted the first ten tasks and captured reference screenshots</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finish the task list and start writing the detector-only evaluation script.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16/12/2025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2" name="Picture 12"/>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16/12/2025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to walk through the fifteen-task suite. Supervisor approved the tasks and suggested I explicitly log the negative test case</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walked through the fifteen-task evaluation suite. The task list was approved. The supervisor pointed out that T15 (the negative case, an instruction whose target is not on screen) should be logged as a refusal test, not a click test, and the evaluation harness should count 'refused' as the correct answer for that task. I updated the harness design accordingly. I also started writing the first</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is the Christmas break. I plan to keep it lightweight: a bit of literature reading on self-supervised pre-training methods (SimCLR, SimSiam, DINO) so I am prepared</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23/12/2025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3" name="Picture 13"/>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23/12/2025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Christmas break week. I kept the work light. Read the SimCLR paper (Chen et al., 2020) end to end, and the SimSiam paper (Chen and He, 2021) which is the one I am most likely to use because it does not need negative pairs or a large batch size. Both are contrastive self-supervised methods that pre-train a backbone on unlabelled images before fine-tuning it on the labelled downstream task. This is going</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is also break. I will keep it light again, probably one more paper (Adaptive Teacher revisited) and no code.</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30/12/2025</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4" name="Picture 14"/>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30/12/2025</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Brief supervisor check-in over email on Tuesday. No live meeting because of the break period; supervisor confirmed I should resume Phase 1 fully from</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New Year break. I re-read the Adaptive Teacher paper (Li et al., 2022b) more carefully than in October, especially the EMA-teacher update rule and the strong-augmentation branch on the target images. This is the second adaptation family I plan to compare, and it is the one with the most moving parts. I also sent a short email update to the supervisor on Tuesday just to keep the biweekly cadence, and got a</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resume Phase 1 fully. Priority is to get the detector-only evaluation running end to end on Windows.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06/01/2026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5" name="Picture 15"/>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06/01/2026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Back to full pace. This week I got the detector-only evaluation running end to end on Windows for the first time. The Colab-trained YOLOv8s ONNX weight file is loaded via onnxruntime, the mss library grabs the current screen, and the detector produces boxes. The results at this stage look bad on Windows 11 screens (roughly two to four boxes per screen against thirty to fifty ground-truth elements), which is expected because the</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start the hand-corrected desktop test set: eight Windows 11 screenshots with every UI element boxed and labelled by hand.</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13/01/2026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6" name="Picture 16"/>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13/01/2026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Reported the poor zero-shot desktop numbers. Supervisor said this is a valid finding on its own and to make</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reported the poor zero-shot desktop numbers (roughly two to four detections per screen against thirty to fifty ground truth). The supervisor's reaction was helpful: this is a valid finding on its own, and the report should frame it as empirical evidence of the domain shift, not as a project failure. That reframing changed how I am going to structure Chapter 7 later. The rest of</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the coursework crunch is over, so I plan to do the actual hand-correction of the eight screens.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20/01/2026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7" name="Picture 17"/>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20/01/2026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heavy on coursework: CMM703 Data Analysis had a small deliverable due Wednesday. Once that was in, I hand-corrected the eight desktop screens over the rest of the week. The eight are: a Windows 11 Settings page, a Notepad Save-As dialog, a File Explorer window, a Chrome new-tab screen, a VS Code sidebar, a Task Manager view, a modern WinUI 3 dialog, and a legacy Win32 control panel. Total ground-truth</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write the auto-label pipeline for a larger unlabelled desktop pool, using the current source model as a weak labeller.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27/01/2026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8" name="Picture 18"/>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27/01/2026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Showed the hand-corrected eight-screen test set. Supervisor approved the labels and asked me to be cautious about how I</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showed the hand-corrected eight-screen test set (356 boxes). The labels were approved. The supervisor was cautious about the auto-label idea, warning that using the source model as a weak labeller could produce inflated evaluation numbers if I ever confuse the auto-labels for ground truth. I noted that down as a project risk. The rest of the week I spent writing the auto-labeller script (which just</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try integrating a public desktop benchmark (ScreenSpot from Cheng et al., 2024) so I have a third-party-labelled evaluation surface, not just my own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03/02/2026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19" name="Picture 19"/>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03/02/2026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mostly the ScreenSpot integration, and it turned into a debugging exercise. First problem: the bounding-box space in ScreenSpot is normalised fractions in xyxy format, but I had written the loader assuming pixel-space xywh. Every score was wrong for a full day before I noticed. Second problem: the HuggingFace datasets cache defaults to the user home directory, which on my Windows machine is under a OneDrive-managed path, and OneDrive plus</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write up the ScreenSpot vs hand-corrected gap properly, because the two are measuring different things (per-instruction success vs per-element recall) and the report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10/02/2026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0" name="Picture 20"/>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10/02/2026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Presented the CPV numbers on both ScreenSpot (57.5%) and hand-corrected (1.4%). Supervisor helped me see that these are two</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presented the two CPV numbers side by side: 57.5 percent on ScreenSpot-desktop and 1.4 percent on the hand-corrected eight-image set. The supervisor immediately spotted what I had missed: these are not the same metric, even though I was calling both of them CPV. ScreenSpot has one ground-truth target per row (per-instruction grounding success), while the hand-corrected set has every UI element on the screen labelled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move on to the few-shot fine-tune experiments, which are the main Phase 2 deliverable.</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17/02/2026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1" name="Picture 2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17/02/2026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I closed out Phase 1 in the tracker. Everything on the Phase 1 checklist is now marked done: unified bundle, source model, hand-corrected test set, ScreenSpot integration, and both CPV numbers documented. I also started sketching the few-shot fine-tuning experiments (Phase 2, sub-phase 4.3 in the internal worklog): the plan is a head-only fine-tune from the source model at k in one, two, four, eight labelled desktop images, and to</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start Phase 2 for real, with the first few-shot fine-tune runs at k=1 and k=2.</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24/02/2026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2" name="Picture 22"/>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24/02/2026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Presented the Phase 2 plan: few-shot at k = 1, 2, 4, 8, plus SSP+FT, plus (if compute allows)</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presented the Phase 2 plan. Three adaptation families are on the table: few-shot fine-tuning, self-supervised pre-training plus fine-tune (SSP+FT), and unsupervised domain adaptation (Adaptive Teacher plus SHOT). The supervisor approved the plan and asked me to prioritise the few-shot curve first because it is the cheapest, and to only start UDA later if Colab budget allows. The rest of the week went into running the</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finish the k=4 and k=8 runs and plot the curve.</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03/03/2026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3" name="Picture 23"/>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03/03/2026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Finished the few-shot curve this week. k=4 gave about 75 percent CPV on ScreenSpot-desktop and k=8 about 78 percent. The curve is monotone by construction (I made the smaller-k subsets a strict subset of the larger-k ones), which is what I wanted for a clean reproducibility story. I also produced the sample_efficiency_curve.png figure, which is going to be one of the headline plots in Chapter 7 of the dissertation. Colab burned about</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start the SSP+FT experiment. This one needs a corpus of unlabelled desktop screenshots first, so step one is to start capturing that.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10/03/2026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4" name="Picture 24"/>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10/03/2026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Showed the few-shot curve. Supervisor was happy with the shape and asked me to make sure the k=0 (zero-shot)</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showed the few-shot curve. The shape (rising from about 57.5 percent at k=0 to about 78 percent at k=8) was well received. The supervisor asked me to make sure the k=0 zero-shot point is on the same axes as the fine-tuned points so the reader can immediately see how much gain a single labelled image buys you. I updated the plot. The rest of the</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run auto_capture_corpus.py in the background across a couple of days of normal work and see how quickly the corpus grows.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17/03/2026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5" name="Picture 25"/>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17/03/2026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The auto-capture script ran across most of this week. It takes a screenshot every sixty seconds and buckets the results by foreground-app name (read via Win32 API). Over four working days I accumulated about 1600 unlabelled screenshots across fourteen different applications, which is in the SSP-viable range (the plan target was 1500 to 2000). I also drafted the 12_ssp_finetune.ipynb notebook. Nothing trained yet: SSP pre-training is going to be a long Colab</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kick off the SSP pre-training run (about one day on Colab T4).</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24/03/2026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6" name="Picture 26"/>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24/03/2026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Reviewed the SSP corpus stats (1600 images across 14 apps). Approved to kick off pre-training. Supervisor also asked me</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reviewed the corpus stats for SSP (1600 images across 14 apps). Approved to kick off pre-training. The supervisor also asked me to think about whether the two UDA methods (Adaptive Teacher, SHOT) could fit into Phase 2 as a stretch goal, or whether they should be future work. I said I would try, budget permitting. The SSP pre-training ran on Colab from Wednesday to Friday</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fine-tune the SSP-pretrained backbone on the hand-corrected eight-image set at k=1 and k=8, so it plugs directly into the sample-efficiency comparison.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31/03/2026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7" name="Picture 27"/>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31/03/2026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The SSP+FT fine-tune ran on Colab this week at k=1 and k=8. The final numbers: at k=1, SSP+FT gave 64.7 percent CPV on ScreenSpot-desktop (versus 66 percent for plain few-shot at k=1), and at k=8 SSP+FT gave 76.9 percent (versus 78 percent for few-shot at k=8). SSP is not winning against plain few-shot on this data, which is actually a meaningful finding on its own, because the SSP corpus was small and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close Phase 2 in the tracker and start Phase 3 (prototype integration).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07/04/2026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8" name="Picture 28"/>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07/04/2026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Closed Phase 2. Kicked off Phase 3 (prototype integration). Agreed on the six-module Python-package layout (capture, detect, ocr, match,</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formally closed Phase 2 in the tracker. Phase 3 (prototype integration) is now the active lane. We agreed on the six-module Python-package layout for the prototype (capture, detect, ocr, match, act, bot) and on Tk as the GUI toolkit because I want it to run on any Windows machine without needing Qt or Electron to be installed. The rest of the week I spent scaffolding</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fill in the capture, detect, and act modules first, since those are the ones the whole pipeline depends on.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14/04/2026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29" name="Picture 29"/>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14/04/2026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was the Sinhala/Tamil New Year week, so I only did four working days. Even so, capture.py, detect.py and act.py all got a first pass. capture.py wraps the mss library and returns a NumPy array with the (left, top) offset attached, which turns out to matter for multi-monitor setups (the click coordinates have to be shifted back). detect.py loads the visclick.onnx weight via onnxruntime and returns a list of boxes with class</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fill in the match, ocr, and bot modules, which are the ones that turn the plumbing into an actual instruction-follower.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21/04/2026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0" name="Picture 30"/>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21/04/2026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Discussed the fuzzy-text plus class-bonus matcher design. Supervisor asked me to make the refusal rule an explicit design decision,</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walked through the matcher design. The current draft uses rapidfuzz's ratio score on the OCR text plus a small bonus if the box's class matches the instruction's inferred intent (a button-verb like 'click' biases towards class=button). The supervisor pushed back on one thing: the refusal rule (when the model does not find anything confident enough) should be an explicit design decision in the code and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build the Tk GUI on top of bot.py so I have a working prototype I can show the supervisor.</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28/04/2026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1" name="Picture 3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28/04/2026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the Tk GUI. It ended up being about 280 lines: a monitor dropdown, an instruction textbox, run/stop buttons, a status line, a last-overlay thumbnail, and a verbose-log toggle. Three specific implementation choices worth noting: the orchestrator runs on a worker thread and talks to the Tk main loop through a queue.Queue polled every 100 ms so the long-running detect and OCR calls do not freeze the UI; the three-second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design the four-method baseline harness: template matching, OCR-only, pywinauto, and VisClick, all sharing the same evaluation script.</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05/05/2026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2" name="Picture 32"/>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05/05/2026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Demoed the working prototype on the Notepad Save-As dialog. Supervisor was pleased. Agreed on the four-method comparison suite for</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demoed the working prototype on the Notepad Save-As dialog. Instruction: 'click the Save button'. The tool detected the button, matched it correctly, and clicked it. Supervisor was pleased and asked for one thing on top: the evaluation chapter needs a four-method comparison so the results are not just about VisClick in isolation. The four are template matching, OCR-only, pywinauto (accessibility-tree), and VisClick. The rest of</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run the full four-method sweep across the 15 tasks.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12/05/2026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3" name="Picture 33"/>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12/05/2026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was the four-method sweep across the 15 tasks. Ran each task once per method (60 attempts total), recorded pass or fail or refused, and logged wall-clock latency. Headline TSR numbers: template 46.7 percent (7/15), OCR-only 33.3 percent (5/15), pywinauto 6.7 percent (1/15), VisClick 73.3 percent (11/15). The pywinauto number is very low, which matches what the literature says about accessibility-tree automation on Windows 11: classic Win32 controls work, but Electron</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compile the Phase 1 evidence bundle (hardware spec, detector benchmark, memory profile, requirements-evidence table) since some of that is due before I open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19/05/2026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4" name="Picture 34"/>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19/05/2026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Presented the four-method TSR and the Phase 1 evidence bundle. Supervisor asked me to make sure the '22-fold' auto-label</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presented two things: the four-method TSR (template 46.7, ocr-only 33.3, pywinauto 6.7, VisClick 73.3) and the Phase 1 evidence bundle. The hardware spec (Windows 11 Enterprise 22631, Intel Core Ultra 5 135H, 32 GB, Intel Arc iGPU, 1920x1080), the detector-only ONNX benchmark (median 67.81 ms, p95 79.02 ms over 50 runs), the peak RSS (212 MB detector-only, 764 MB after EasyOCR warm-up), and the R-FR</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is Phase 4 kick-off. I plan to commit to the Phase 4 triple: DETR baseline, few-shot curve rerun with the newer protocol, and SSP+FT proper. UDA</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26/05/2026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5" name="Picture 35"/>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26/05/2026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Phase 4 kick-off week. Following the last supervisor meeting, I committed to the Phase 4 triple: DETR-R50 as the second-backbone baseline (D-01), few-shot curve rerun with the newer protocol (D-05), and SSP+FT with a proper held-out ScreenSpot evaluation (D-02). Adaptive Teacher and SHOT are a stretch goal for later in Phase 4 if the H100 machine I have access to at work becomes usable. I also did some plan consolidation this week:</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start the DETR-R50 source-side training run.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02/06/2026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6" name="Picture 36"/>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02/06/2026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Reported DETR source-side done. Supervisor helped me interpret the compute-time story fairly (DETR being 6x slower for 54% of</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reported the DETR source-side result. DETR-R50 on the CLAY test split gave mAP@0.5 of 0.2438 and mAP@0.5:0.95 of 0.1606, which is roughly 54 percent of the YOLOv8s number (0.4505) at about six times the wall-clock time per training run. The supervisor helped me interpret this fairly: the numbers are not saying DETR is a bad model, they are saying it is not competitive at this</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draft the few-shot curve notebook properly (08c) with head-only fine-tune from best_source_v8s and the ScreenSpot-desktop primary evaluation.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09/06/2026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7" name="Picture 37"/>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09/06/2026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week I drafted 08c_few_shot_curve.ipynb. Design: head-only YOLOv8s fine-tune from best_source_v8s.pt at k in {1, 2, 4, 8}, using the first-k stems of the sorted hand-corrected pool so the smaller-k subsets are strict subsets of the larger-k ones (which makes the curve monotone by construction and easier to reproduce). Primary metric is CPV on the ScreenSpot-desktop held-out slice (n=334, third-party labelled) so the small training pool does not contaminate the test signal.</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run the few-shot curve on Colab (about one hour) and start on the SSP proper run.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16/06/2026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8" name="Picture 38"/>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16/06/2026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Discussed the option of moving the heavy runs to a local H100 machine I have access to at work.</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floated the idea of moving the heavy Phase 4 runs (SSP proper and the two UDA methods) off Colab and onto a local H100 GPU machine that I have access to at work. The supervisor said yes as long as I document the compute environment clearly in Chapter 6 (hardware spec, driver versions, exact commands), so the results stay reproducible for the second marker. I</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get the SSP+FT full run and the first UDA experiment (Adaptive Teacher, D-03) running on the H100.</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23/06/2026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39" name="Picture 39"/>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23/06/2026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Migrated to the H100 machine this week. Cloning the repo, installing the environment, and pulling the datasets onto the local SCRATCH space took a full day (about 60 minutes of that was one runaway find(1) command crawling NFS, which I killed and replaced with a directory-scoped one). Once the environment was clean, the D-03 Adaptive Teacher experiment ran to completion: 5 epochs, batch 16, 348 pseudo-labels out of 384 target images, CPV</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run D-04 (SHOT) on the same machine.</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30/06/2026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0" name="Picture 40"/>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30/06/2026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Reported D-03 and D-04 done on the H100. Supervisor noted that D-04's negative result is a valid finding on</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reported both D-03 and D-04 done on the H100. D-04 (SHOT, simplified) at 8 epochs with freeze=15 gave CPV of 23.95 percent on ScreenSpot-desktop, which is much worse than D-03 (68.56 percent). The mAP@0.5 on the pseudo-label validation set went to 0.81 by epoch 8, but the transfer degraded, which is a classic pseudo-label overfitting story. The supervisor said this is a valid negative finding</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finish the extended UDA reruns (SHOT 15 epochs, SHOT freeze=10, and AT with the full 3-iteration 8k-source protocol) and start writing Chapter 7.</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07/07/2026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1" name="Picture 4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07/07/2026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No</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NA</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Three extended runs finished this week, all on the H100. SHOT 15 epochs (same freeze=15) gave 26.95 percent CPV, marginal improvement over the 8-epoch run. SHOT with a looser freeze depth of 10 gave 34.13 percent, which is a meaningful 10-point improvement and says the freeze=15 config was probably too aggressive. And AT with the full protocol (3 iterations, 10 epochs each, 8k source images) took about 35 minutes and gave 64.67</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write Chapters 1 to 4 of the dissertation.</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14/07/2026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2" name="Picture 42"/>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14/07/2026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Walked through the draft outline of Chapters 1-4. Supervisor gave detailed feedback: onion-model diagram for stakeholders, explicit waterfall justification,</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I met the supervisor on Tuesday and walked through the draft outline of Chapters 1 to 4. The feedback was detailed and specific. Chapter 3 needs an onion-model diagram for stakeholder analysis and a use-case number column on the functional requirements table. Chapter 4 needs an explicit waterfall-versus-agile justification, and a paragraph on why the code is functional-and-module-oriented rather than OOP (given the pipeline is a straight-line data flow, forcing OOP would</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is the last week before submission. I plan to finish Chapters 5 to 9, produce the sixteen figures, and get the front matter (abstract, acknowledgements, abbreviations)</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21/07/2026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3" name="Picture 43"/>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46" w:hRule="exact"/>
        </w:trPr>
        <w:tc>
          <w:tcPr>
            <w:tcW w:w="2235" w:type="dxa"/>
          </w:tcPr>
          <w:p w14:paraId="25C0FA00" w14:textId="2DD57FBD" w:rsidR="00130D58" w:rsidRDefault="00130D58" w:rsidP="003613BD">
            <w:pPr>
              <w:pageBreakBefore/>
            </w:pPr>
            <w:r>
              <w:t>Student R</w:t>
            </w:r>
            <w:r w:rsidR="00A20B49">
              <w:t>GU</w:t>
            </w:r>
            <w:r>
              <w:t xml:space="preserve"> ID:</w:t>
            </w:r>
          </w:p>
        </w:tc>
        <w:tc>
          <w:tcPr>
            <w:tcW w:w="7007" w:type="dxa"/>
          </w:tcPr>
          <w:p>
            <w:pPr>
              <w:spacing w:before="0" w:after="0" w:line="240" w:lineRule="auto"/>
            </w:pPr>
            <w:r>
              <w:rPr>
                <w:sz w:val="20"/>
              </w:rPr>
              <w:t>2425488</w:t>
            </w:r>
          </w:p>
        </w:tc>
      </w:tr>
      <w:tr w:rsidR="00B51829" w14:paraId="5608C46B" w14:textId="77777777" w:rsidTr="00DE09B8">
        <w:trPr>
          <w:trHeight w:val="346" w:hRule="exact"/>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pPr>
              <w:spacing w:before="0" w:after="0" w:line="240" w:lineRule="auto"/>
            </w:pPr>
            <w:r>
              <w:rPr>
                <w:sz w:val="20"/>
              </w:rPr>
              <w:t>20241504</w:t>
            </w:r>
          </w:p>
        </w:tc>
      </w:tr>
      <w:tr w:rsidR="00B51829" w14:paraId="45A0525F" w14:textId="77777777" w:rsidTr="001B0741">
        <w:trPr>
          <w:trHeight w:val="346" w:hRule="exact"/>
        </w:trPr>
        <w:tc>
          <w:tcPr>
            <w:tcW w:w="2235" w:type="dxa"/>
          </w:tcPr>
          <w:p w14:paraId="29641D28" w14:textId="77777777" w:rsidR="00B51829" w:rsidRDefault="00B51829" w:rsidP="00B518CD">
            <w:r>
              <w:t xml:space="preserve">Student name </w:t>
            </w:r>
          </w:p>
        </w:tc>
        <w:tc>
          <w:tcPr>
            <w:tcW w:w="7007" w:type="dxa"/>
          </w:tcPr>
          <w:p>
            <w:pPr>
              <w:spacing w:before="0" w:after="0" w:line="240" w:lineRule="auto"/>
            </w:pPr>
            <w:r>
              <w:rPr>
                <w:sz w:val="20"/>
              </w:rPr>
              <w:t>Hiran Abeywardhana</w:t>
            </w:r>
          </w:p>
        </w:tc>
      </w:tr>
      <w:tr w:rsidR="00D01EEF" w14:paraId="2978E9AA" w14:textId="77777777" w:rsidTr="00E01CE4">
        <w:trPr>
          <w:trHeight w:val="346" w:hRule="exact"/>
        </w:trPr>
        <w:tc>
          <w:tcPr>
            <w:tcW w:w="2235" w:type="dxa"/>
          </w:tcPr>
          <w:p w14:paraId="3284CE98" w14:textId="77777777" w:rsidR="00D01EEF" w:rsidRDefault="00D01EEF" w:rsidP="00D77372">
            <w:r>
              <w:t xml:space="preserve">Course </w:t>
            </w:r>
          </w:p>
        </w:tc>
        <w:tc>
          <w:tcPr>
            <w:tcW w:w="7007" w:type="dxa"/>
          </w:tcPr>
          <w:p>
            <w:pPr>
              <w:spacing w:before="0" w:after="0" w:line="240" w:lineRule="auto"/>
            </w:pPr>
            <w:r>
              <w:rPr>
                <w:sz w:val="20"/>
              </w:rPr>
              <w:t>MSc Big Data Analytics</w:t>
            </w:r>
          </w:p>
        </w:tc>
      </w:tr>
      <w:tr w:rsidR="00B51829" w14:paraId="7DC286F4" w14:textId="77777777" w:rsidTr="00B518CD">
        <w:trPr>
          <w:trHeight w:val="346" w:hRule="exact"/>
        </w:trPr>
        <w:tc>
          <w:tcPr>
            <w:tcW w:w="2235" w:type="dxa"/>
          </w:tcPr>
          <w:p w14:paraId="1EA8F693" w14:textId="77777777" w:rsidR="00B51829" w:rsidRDefault="00B51829" w:rsidP="00ED603C">
            <w:r>
              <w:t>Module</w:t>
            </w:r>
            <w:r w:rsidR="00ED603C">
              <w:t xml:space="preserve"> </w:t>
            </w:r>
          </w:p>
        </w:tc>
        <w:tc>
          <w:tcPr>
            <w:tcW w:w="7007" w:type="dxa"/>
          </w:tcPr>
          <w:p>
            <w:pPr>
              <w:spacing w:before="0" w:after="0" w:line="240" w:lineRule="auto"/>
            </w:pPr>
            <w:r>
              <w:rPr>
                <w:sz w:val="20"/>
              </w:rPr>
              <w:t>CMM799 MSc Project</w:t>
            </w:r>
          </w:p>
        </w:tc>
      </w:tr>
      <w:tr w:rsidR="002F7BB7" w14:paraId="0492480D" w14:textId="77777777" w:rsidTr="00B26681">
        <w:trPr>
          <w:trHeight w:val="648" w:hRule="exact"/>
        </w:trPr>
        <w:tc>
          <w:tcPr>
            <w:tcW w:w="2235" w:type="dxa"/>
          </w:tcPr>
          <w:p w14:paraId="2AC0291E" w14:textId="77777777" w:rsidR="002F7BB7" w:rsidRDefault="002F7BB7" w:rsidP="003613BD">
            <w:r>
              <w:t xml:space="preserve">Project Topic </w:t>
            </w:r>
          </w:p>
        </w:tc>
        <w:tc>
          <w:tcPr>
            <w:tcW w:w="7007" w:type="dxa"/>
          </w:tcPr>
          <w:p>
            <w:pPr>
              <w:spacing w:before="0" w:after="0" w:line="240" w:lineRule="auto"/>
            </w:pPr>
            <w:r>
              <w:rPr>
                <w:sz w:val="20"/>
              </w:rPr>
              <w:t>Cross-Domain Machine Learning Framework for Scalable GUI Element Detection and Adaptation in Desktop Environments</w:t>
            </w:r>
          </w:p>
        </w:tc>
      </w:tr>
      <w:tr w:rsidR="003901FA" w14:paraId="2AAA86EB" w14:textId="77777777" w:rsidTr="00B26681">
        <w:trPr>
          <w:trHeight w:val="403" w:hRule="exact"/>
        </w:trPr>
        <w:tc>
          <w:tcPr>
            <w:tcW w:w="2235" w:type="dxa"/>
          </w:tcPr>
          <w:p w14:paraId="360A3089" w14:textId="36947228" w:rsidR="003901FA" w:rsidRDefault="003901FA" w:rsidP="003613BD">
            <w:r>
              <w:t>Supervisor</w:t>
            </w:r>
          </w:p>
        </w:tc>
        <w:tc>
          <w:tcPr>
            <w:tcW w:w="7007" w:type="dxa"/>
          </w:tcPr>
          <w:p>
            <w:pPr>
              <w:spacing w:before="0" w:after="0" w:line="240" w:lineRule="auto"/>
            </w:pPr>
            <w:r>
              <w:rPr>
                <w:sz w:val="20"/>
              </w:rPr>
              <w:t>Mr.Pumudu Fernando</w:t>
            </w:r>
          </w:p>
        </w:tc>
      </w:tr>
      <w:tr w:rsidR="00B51829" w14:paraId="2CCB0132" w14:textId="77777777" w:rsidTr="001B0741">
        <w:trPr>
          <w:trHeight w:val="403" w:hRule="exact"/>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pPr>
              <w:spacing w:before="0" w:after="0" w:line="240" w:lineRule="auto"/>
            </w:pPr>
            <w:r>
              <w:rPr>
                <w:sz w:val="20"/>
              </w:rPr>
              <w:t>21/07/2026</w:t>
            </w:r>
          </w:p>
        </w:tc>
      </w:tr>
      <w:tr w:rsidR="00B51829" w14:paraId="273636D1" w14:textId="77777777" w:rsidTr="00B518CD">
        <w:trPr>
          <w:trHeight w:val="346" w:hRule="exact"/>
        </w:trPr>
        <w:tc>
          <w:tcPr>
            <w:tcW w:w="2235" w:type="dxa"/>
            <w:vMerge w:val="restart"/>
          </w:tcPr>
          <w:p w14:paraId="02F9AD5D" w14:textId="77777777" w:rsidR="00B51829" w:rsidRDefault="00B51829" w:rsidP="00B518CD">
            <w:r>
              <w:t>Meeting with the supervisor</w:t>
            </w:r>
          </w:p>
        </w:tc>
        <w:tc>
          <w:tcPr>
            <w:tcW w:w="7007" w:type="dxa"/>
          </w:tcPr>
          <w:p>
            <w:pPr>
              <w:spacing w:before="0" w:after="0" w:line="240" w:lineRule="auto"/>
            </w:pPr>
            <w:r>
              <w:rPr>
                <w:sz w:val="20"/>
              </w:rPr>
              <w:t>Yes</w:t>
            </w:r>
          </w:p>
        </w:tc>
      </w:tr>
      <w:tr w:rsidR="001B0741" w14:paraId="30CD6404" w14:textId="77777777" w:rsidTr="00453EE7">
        <w:trPr>
          <w:trHeight w:val="792" w:hRule="exact"/>
        </w:trPr>
        <w:tc>
          <w:tcPr>
            <w:tcW w:w="2235" w:type="dxa"/>
            <w:vMerge/>
          </w:tcPr>
          <w:p w14:paraId="65E1AEF0" w14:textId="77777777" w:rsidR="001B0741" w:rsidRDefault="001B0741" w:rsidP="00B518CD"/>
        </w:tc>
        <w:tc>
          <w:tcPr>
            <w:tcW w:w="7007" w:type="dxa"/>
          </w:tcPr>
          <w:p>
            <w:pPr>
              <w:spacing w:before="0" w:after="0" w:line="240" w:lineRule="auto"/>
            </w:pPr>
            <w:r>
              <w:rPr>
                <w:sz w:val="20"/>
              </w:rPr>
              <w:t>Met the supervisor on Tuesday for the pre-submission review. Walked through the full draft. Supervisor signed off with a few small edits (font sizes,</w:t>
            </w:r>
          </w:p>
        </w:tc>
      </w:tr>
      <w:tr w:rsidR="00B51829" w14:paraId="6BE273CF" w14:textId="77777777" w:rsidTr="001B0741">
        <w:trPr>
          <w:trHeight w:val="4896" w:hRule="exact"/>
        </w:trPr>
        <w:tc>
          <w:tcPr>
            <w:tcW w:w="2235" w:type="dxa"/>
          </w:tcPr>
          <w:p w14:paraId="5282AD37" w14:textId="77777777" w:rsidR="00B51829" w:rsidRDefault="00B51829" w:rsidP="00B518CD">
            <w:r>
              <w:t>Description of progress this week</w:t>
            </w:r>
          </w:p>
        </w:tc>
        <w:tc>
          <w:tcPr>
            <w:tcW w:w="7007" w:type="dxa"/>
          </w:tcPr>
          <w:p>
            <w:pPr>
              <w:spacing w:before="0" w:after="0" w:line="240" w:lineRule="auto"/>
            </w:pPr>
            <w:r>
              <w:rPr>
                <w:sz w:val="20"/>
              </w:rPr>
              <w:t>This was the pre-submission week. I met the supervisor on Tuesday for the pre-submission review and walked through the full draft. Supervisor signed off with a few small edits: consistent 12pt body text with 10-11pt captions and table text, roman-numeral page numbers on the front matter and arabic starting at Chapter 1, and the three-expert evaluation attached as Appendix A rather than embedded in Chapter 8. I finished Chapters 5 to 9</w:t>
            </w:r>
          </w:p>
        </w:tc>
      </w:tr>
      <w:tr w:rsidR="00B51829" w14:paraId="4E09DFC2" w14:textId="77777777" w:rsidTr="001B0741">
        <w:trPr>
          <w:trHeight w:val="2304" w:hRule="exact"/>
        </w:trPr>
        <w:tc>
          <w:tcPr>
            <w:tcW w:w="2235" w:type="dxa"/>
          </w:tcPr>
          <w:p w14:paraId="6981B193" w14:textId="77777777" w:rsidR="00B51829" w:rsidRDefault="00B51829" w:rsidP="00B518CD">
            <w:r>
              <w:t>Plan for next week</w:t>
            </w:r>
          </w:p>
        </w:tc>
        <w:tc>
          <w:tcPr>
            <w:tcW w:w="7007" w:type="dxa"/>
          </w:tcPr>
          <w:p>
            <w:pPr>
              <w:spacing w:before="0" w:after="0" w:line="240" w:lineRule="auto"/>
            </w:pPr>
            <w:r>
              <w:rPr>
                <w:sz w:val="20"/>
              </w:rPr>
              <w:t>Next week I plan to submit the dissertation via the RGU Moodle drop-box and upload the code repository as instructed.</w:t>
            </w:r>
          </w:p>
        </w:tc>
      </w:tr>
      <w:tr w:rsidR="00B51829" w14:paraId="39431B60" w14:textId="77777777" w:rsidTr="001B0741">
        <w:trPr>
          <w:trHeight w:val="403" w:hRule="exact"/>
        </w:trPr>
        <w:tc>
          <w:tcPr>
            <w:tcW w:w="2235" w:type="dxa"/>
          </w:tcPr>
          <w:p w14:paraId="6BD9F2E9" w14:textId="77777777" w:rsidR="00B51829" w:rsidRDefault="00B51829" w:rsidP="00B518CD">
            <w:r>
              <w:t>Date of report</w:t>
            </w:r>
          </w:p>
        </w:tc>
        <w:tc>
          <w:tcPr>
            <w:tcW w:w="7007" w:type="dxa"/>
          </w:tcPr>
          <w:p>
            <w:pPr>
              <w:spacing w:before="0" w:after="0" w:line="240" w:lineRule="auto"/>
            </w:pPr>
            <w:r>
              <w:rPr>
                <w:sz w:val="20"/>
              </w:rPr>
              <w:t>28/07/2026</w:t>
            </w:r>
          </w:p>
        </w:tc>
      </w:tr>
      <w:tr w:rsidR="00393375" w14:paraId="15B12AE9" w14:textId="77777777" w:rsidTr="00802F6F">
        <w:trPr>
          <w:trHeight w:val="792" w:hRule="exact"/>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594360" cy="473384"/>
                  <wp:docPr id="44" name="Picture 44"/>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594360" cy="473384"/>
                          </a:xfrm>
                          <a:prstGeom prst="rect"/>
                        </pic:spPr>
                      </pic:pic>
                    </a:graphicData>
                  </a:graphic>
                </wp:inline>
              </w:drawing>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