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400"/>
              <w:left w:type="dxa" w:w="300"/>
              <w:bottom w:type="dxa" w:w="400"/>
              <w:right w:type="dxa" w:w="300"/>
            </w:tcMar>
          </w:tcPr>
          <w:p>
            <w:pPr>
              <w:jc w:val="center"/>
            </w:pPr>
            <w:r>
              <w:rPr>
                <w:rFonts w:ascii="Arial" w:cs="Arial" w:eastAsia="Arial" w:hAnsi="Arial"/>
                <w:b/>
                <w:bCs/>
                <w:color w:val="CBD5E1"/>
                <w:sz w:val="18"/>
                <w:szCs w:val="18"/>
              </w:rPr>
              <w:t xml:space="preserve">CONFIDENTIAL — INTERNAL USE ONLY</w:t>
            </w:r>
          </w:p>
        </w:tc>
      </w:tr>
    </w:tbl>
    <w:p>
      <w:pPr>
        <w:spacing w:after="0" w:before="720"/>
      </w:pPr>
      <w:r>
        <w:rPr>
          <w:rFonts w:ascii="Arial" w:cs="Arial" w:eastAsia="Arial" w:hAnsi="Arial"/>
        </w:rPr>
        <w:t xml:space="preserve"/>
      </w:r>
    </w:p>
    <w:p>
      <w:pPr>
        <w:spacing w:after="0" w:before="1200"/>
        <w:jc w:val="center"/>
      </w:pPr>
      <w:r>
        <w:rPr>
          <w:rFonts w:ascii="Arial" w:cs="Arial" w:eastAsia="Arial" w:hAnsi="Arial"/>
          <w:b/>
          <w:bCs/>
          <w:color w:val="1B2A4A"/>
          <w:sz w:val="52"/>
          <w:szCs w:val="52"/>
        </w:rPr>
        <w:t xml:space="preserve">TRAVEL AGENCY</w:t>
      </w:r>
    </w:p>
    <w:p>
      <w:pPr>
        <w:spacing w:after="0" w:before="0"/>
        <w:jc w:val="center"/>
      </w:pPr>
      <w:r>
        <w:rPr>
          <w:rFonts w:ascii="Arial" w:cs="Arial" w:eastAsia="Arial" w:hAnsi="Arial"/>
          <w:b/>
          <w:bCs/>
          <w:color w:val="2563EB"/>
          <w:sz w:val="52"/>
          <w:szCs w:val="52"/>
        </w:rPr>
        <w:t xml:space="preserve">ANALYTICS DASHBOARD</w:t>
      </w:r>
    </w:p>
    <w:p>
      <w:pPr>
        <w:pBdr>
          <w:bottom w:val="single" w:color="0EA5E9" w:sz="12" w:space="4"/>
        </w:pBdr>
        <w:spacing w:after="40" w:before="40"/>
        <w:jc w:val="center"/>
      </w:pPr>
      <w:r>
        <w:rPr>
          <w:rFonts w:ascii="Arial" w:cs="Arial" w:eastAsia="Arial" w:hAnsi="Arial"/>
          <w:sz w:val="36"/>
          <w:szCs w:val="36"/>
        </w:rPr>
        <w:t xml:space="preserve"> </w:t>
      </w:r>
    </w:p>
    <w:p>
      <w:pPr>
        <w:spacing w:after="60" w:before="280"/>
        <w:jc w:val="center"/>
      </w:pPr>
      <w:r>
        <w:rPr>
          <w:rFonts w:ascii="Arial" w:cs="Arial" w:eastAsia="Arial" w:hAnsi="Arial"/>
          <w:i/>
          <w:iCs/>
          <w:color w:val="64748B"/>
          <w:sz w:val="30"/>
          <w:szCs w:val="30"/>
        </w:rPr>
        <w:t xml:space="preserve">In-Depth Analytical Report</w:t>
      </w:r>
    </w:p>
    <w:p>
      <w:pPr>
        <w:spacing w:after="1200" w:before="60"/>
        <w:jc w:val="center"/>
      </w:pPr>
      <w:r>
        <w:rPr>
          <w:rFonts w:ascii="Arial" w:cs="Arial" w:eastAsia="Arial" w:hAnsi="Arial"/>
          <w:color w:val="64748B"/>
          <w:sz w:val="22"/>
          <w:szCs w:val="22"/>
        </w:rPr>
        <w:t xml:space="preserve">Power BI Dashboard Analysis | MNC Standard</w:t>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tblGrid>
      <w:tr>
        <w:tc>
          <w:tcPr>
            <w:tcW w:type="dxa" w:w="2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B2A4A"/>
                <w:sz w:val="20"/>
                <w:szCs w:val="20"/>
              </w:rPr>
              <w:t xml:space="preserve">Document Type</w:t>
            </w:r>
          </w:p>
        </w:tc>
        <w:tc>
          <w:tcPr>
            <w:tcW w:type="dxa" w:w="33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color w:val="0F172A"/>
                <w:sz w:val="20"/>
                <w:szCs w:val="20"/>
              </w:rPr>
              <w:t xml:space="preserve">Analytical Report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Dashboard Tool</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Microsoft Power BI</w:t>
            </w:r>
          </w:p>
        </w:tc>
      </w:tr>
      <w:tr>
        <w:tc>
          <w:tcPr>
            <w:tcW w:type="dxa" w:w="2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B2A4A"/>
                <w:sz w:val="20"/>
                <w:szCs w:val="20"/>
              </w:rPr>
              <w:t xml:space="preserve">Industry</w:t>
            </w:r>
          </w:p>
        </w:tc>
        <w:tc>
          <w:tcPr>
            <w:tcW w:type="dxa" w:w="33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color w:val="0F172A"/>
                <w:sz w:val="20"/>
                <w:szCs w:val="20"/>
              </w:rPr>
              <w:t xml:space="preserve">Travel &amp; Tourism</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Report Scope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8 Dashboard Pages</w:t>
            </w:r>
          </w:p>
        </w:tc>
      </w:tr>
      <w:tr>
        <w:tc>
          <w:tcPr>
            <w:tcW w:type="dxa" w:w="2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B2A4A"/>
                <w:sz w:val="20"/>
                <w:szCs w:val="20"/>
              </w:rPr>
              <w:t xml:space="preserve">Classification</w:t>
            </w:r>
          </w:p>
        </w:tc>
        <w:tc>
          <w:tcPr>
            <w:tcW w:type="dxa" w:w="33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color w:val="0F172A"/>
                <w:sz w:val="20"/>
                <w:szCs w:val="20"/>
              </w:rPr>
              <w:t xml:space="preserve">Confidential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Prepared For</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Executive Leadership</w:t>
            </w:r>
          </w:p>
        </w:tc>
      </w:tr>
      <w:tr>
        <w:tc>
          <w:tcPr>
            <w:tcW w:type="dxa" w:w="2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B2A4A"/>
                <w:sz w:val="20"/>
                <w:szCs w:val="20"/>
              </w:rPr>
              <w:t xml:space="preserve">Prepared By</w:t>
            </w:r>
          </w:p>
        </w:tc>
        <w:tc>
          <w:tcPr>
            <w:tcW w:type="dxa" w:w="33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color w:val="0F172A"/>
                <w:sz w:val="20"/>
                <w:szCs w:val="20"/>
              </w:rPr>
              <w:t xml:space="preserve">Business Intelligence Unit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Date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June 2026</w:t>
            </w:r>
          </w:p>
        </w:tc>
      </w:tr>
    </w:tbl>
    <w:p>
      <w:pPr>
        <w:spacing w:after="0" w:before="600"/>
      </w:pPr>
      <w:r>
        <w:rPr>
          <w:rFonts w:ascii="Arial" w:cs="Arial" w:eastAsia="Arial" w:hAnsi="Arial"/>
        </w:rPr>
        <w:t xml:space="preserve"/>
      </w:r>
    </w:p>
    <w:p>
      <w:pPr>
        <w:spacing w:after="0" w:before="400"/>
        <w:jc w:val="center"/>
      </w:pPr>
      <w:r>
        <w:rPr>
          <w:rFonts w:ascii="Arial" w:cs="Arial" w:eastAsia="Arial" w:hAnsi="Arial"/>
          <w:i/>
          <w:iCs/>
          <w:color w:val="64748B"/>
          <w:sz w:val="18"/>
          <w:szCs w:val="18"/>
        </w:rPr>
        <w:t xml:space="preserve">This document contains proprietary information intended solely for authorized personnel.</w:t>
      </w:r>
    </w:p>
    <w:p>
      <w:r>
        <w:br w:type="page"/>
      </w:r>
    </w:p>
    <w:p>
      <w:pPr>
        <w:sectPr>
          <w:pgSz w:w="12240" w:h="15840" w:orient="portrait"/>
          <w:pgMar w:top="1440" w:right="1440" w:bottom="1440" w:left="1440" w:header="708" w:footer="708" w:gutter="0"/>
          <w:pgNumType/>
          <w:docGrid w:linePitch="360"/>
        </w:sectPr>
      </w:pPr>
    </w:p>
    <w:p>
      <w:pPr>
        <w:spacing w:after="200" w:before="0"/>
        <w:jc w:val="center"/>
      </w:pPr>
      <w:r>
        <w:rPr>
          <w:rFonts w:ascii="Arial" w:cs="Arial" w:eastAsia="Arial" w:hAnsi="Arial"/>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563EB" w:sz="8" w:space="4"/>
        </w:pBdr>
        <w:spacing w:after="160" w:before="480"/>
      </w:pPr>
      <w:r>
        <w:rPr>
          <w:rFonts w:ascii="Arial" w:cs="Arial" w:eastAsia="Arial" w:hAnsi="Arial"/>
          <w:b/>
          <w:bCs/>
          <w:color w:val="1B2A4A"/>
          <w:sz w:val="36"/>
          <w:szCs w:val="36"/>
        </w:rPr>
        <w:t xml:space="preserve">1. Executive Overview</w:t>
      </w:r>
    </w:p>
    <w:p>
      <w:pPr>
        <w:spacing w:after="100" w:before="60"/>
      </w:pPr>
      <w:r>
        <w:rPr>
          <w:rFonts w:ascii="Arial" w:cs="Arial" w:eastAsia="Arial" w:hAnsi="Arial"/>
          <w:color w:val="0F172A"/>
          <w:sz w:val="22"/>
          <w:szCs w:val="22"/>
        </w:rPr>
        <w:t xml:space="preserve">This report provides a structured, in-depth analysis of the Travel Agency Analytics Dashboard built in Microsoft Power BI. The dashboard spans eight analytically distinct pages — Executive Summary, Sales Analytics, Customer Analytics, Operational Analytics, Payment Analytics, Visa Analytics, Customer Satisfaction, and Final Insights — each designed to surface mission-critical intelligence across the travel business lifecycle.</w:t>
      </w:r>
    </w:p>
    <w:p>
      <w:pPr>
        <w:spacing w:after="100" w:before="60"/>
      </w:pPr>
      <w:r>
        <w:rPr>
          <w:rFonts w:ascii="Arial" w:cs="Arial" w:eastAsia="Arial" w:hAnsi="Arial"/>
          <w:color w:val="0F172A"/>
          <w:sz w:val="22"/>
          <w:szCs w:val="22"/>
        </w:rPr>
        <w:t xml:space="preserve">The objective of this report is to document the design intent, data architecture, visual composition, and actionable findings of each dashboard page in a format suitable for executive review, stakeholder briefings, and strategic planning sessions. All findings are derived directly from the Power BI model structure, visual configurations, and KPI definitions embedded within the dashboard.</w:t>
      </w:r>
    </w:p>
    <w:p>
      <w:pPr>
        <w:pBdr>
          <w:bottom w:val="single" w:color="CBD5E1" w:sz="4" w:space="1"/>
        </w:pBdr>
        <w:spacing w:after="120" w:before="120"/>
      </w:pPr>
      <w:r>
        <w:rPr>
          <w:rFonts w:ascii="Arial" w:cs="Arial" w:eastAsia="Arial" w:hAnsi="Arial"/>
        </w:rPr>
        <w:t xml:space="preserve"/>
      </w:r>
    </w:p>
    <w:p>
      <w:pPr>
        <w:pStyle w:val="Heading2"/>
        <w:spacing w:after="120" w:before="360"/>
      </w:pPr>
      <w:r>
        <w:rPr>
          <w:rFonts w:ascii="Arial" w:cs="Arial" w:eastAsia="Arial" w:hAnsi="Arial"/>
          <w:b/>
          <w:bCs/>
          <w:color w:val="1E3A8A"/>
          <w:sz w:val="28"/>
          <w:szCs w:val="28"/>
        </w:rPr>
        <w:t xml:space="preserve">1.1 Report Objectives</w:t>
      </w:r>
    </w:p>
    <w:p>
      <w:pPr>
        <w:pStyle w:val="ListParagraph"/>
        <w:numPr>
          <w:ilvl w:val="0"/>
          <w:numId w:val="2"/>
        </w:numPr>
        <w:spacing w:after="40" w:before="40"/>
      </w:pPr>
      <w:r>
        <w:rPr>
          <w:rFonts w:ascii="Arial" w:cs="Arial" w:eastAsia="Arial" w:hAnsi="Arial"/>
          <w:color w:val="0F172A"/>
          <w:sz w:val="22"/>
          <w:szCs w:val="22"/>
        </w:rPr>
        <w:t xml:space="preserve">Provide a comprehensive, MNC-standard written analysis of the Power BI dashboard.</w:t>
      </w:r>
    </w:p>
    <w:p>
      <w:pPr>
        <w:pStyle w:val="ListParagraph"/>
        <w:numPr>
          <w:ilvl w:val="0"/>
          <w:numId w:val="2"/>
        </w:numPr>
        <w:spacing w:after="40" w:before="40"/>
      </w:pPr>
      <w:r>
        <w:rPr>
          <w:rFonts w:ascii="Arial" w:cs="Arial" w:eastAsia="Arial" w:hAnsi="Arial"/>
          <w:color w:val="0F172A"/>
          <w:sz w:val="22"/>
          <w:szCs w:val="22"/>
        </w:rPr>
        <w:t xml:space="preserve">Document all KPIs, visual types, data fields, and analytical dimensions per page.</w:t>
      </w:r>
    </w:p>
    <w:p>
      <w:pPr>
        <w:pStyle w:val="ListParagraph"/>
        <w:numPr>
          <w:ilvl w:val="0"/>
          <w:numId w:val="2"/>
        </w:numPr>
        <w:spacing w:after="40" w:before="40"/>
      </w:pPr>
      <w:r>
        <w:rPr>
          <w:rFonts w:ascii="Arial" w:cs="Arial" w:eastAsia="Arial" w:hAnsi="Arial"/>
          <w:color w:val="0F172A"/>
          <w:sz w:val="22"/>
          <w:szCs w:val="22"/>
        </w:rPr>
        <w:t xml:space="preserve">Surface strategic insights and identify performance gaps observable from the dashboard design.</w:t>
      </w:r>
    </w:p>
    <w:p>
      <w:pPr>
        <w:pStyle w:val="ListParagraph"/>
        <w:numPr>
          <w:ilvl w:val="0"/>
          <w:numId w:val="2"/>
        </w:numPr>
        <w:spacing w:after="40" w:before="40"/>
      </w:pPr>
      <w:r>
        <w:rPr>
          <w:rFonts w:ascii="Arial" w:cs="Arial" w:eastAsia="Arial" w:hAnsi="Arial"/>
          <w:color w:val="0F172A"/>
          <w:sz w:val="22"/>
          <w:szCs w:val="22"/>
        </w:rPr>
        <w:t xml:space="preserve">Deliver actionable recommendations to maximize dashboard utility and business impact.</w:t>
      </w:r>
    </w:p>
    <w:p>
      <w:pPr>
        <w:pBdr>
          <w:bottom w:val="single" w:color="CBD5E1" w:sz="4" w:space="1"/>
        </w:pBdr>
        <w:spacing w:after="120" w:before="120"/>
      </w:pPr>
      <w:r>
        <w:rPr>
          <w:rFonts w:ascii="Arial" w:cs="Arial" w:eastAsia="Arial" w:hAnsi="Arial"/>
        </w:rPr>
        <w:t xml:space="preserve"/>
      </w:r>
    </w:p>
    <w:p>
      <w:pPr>
        <w:pStyle w:val="Heading2"/>
        <w:spacing w:after="120" w:before="360"/>
      </w:pPr>
      <w:r>
        <w:rPr>
          <w:rFonts w:ascii="Arial" w:cs="Arial" w:eastAsia="Arial" w:hAnsi="Arial"/>
          <w:b/>
          <w:bCs/>
          <w:color w:val="1E3A8A"/>
          <w:sz w:val="28"/>
          <w:szCs w:val="28"/>
        </w:rPr>
        <w:t xml:space="preserve">1.2 Dashboard Architecture at a Glance</w:t>
      </w:r>
    </w:p>
    <w:p>
      <w:pPr>
        <w:spacing w:after="100" w:before="60"/>
      </w:pPr>
      <w:r>
        <w:rPr>
          <w:rFonts w:ascii="Arial" w:cs="Arial" w:eastAsia="Arial" w:hAnsi="Arial"/>
          <w:color w:val="0F172A"/>
          <w:sz w:val="22"/>
          <w:szCs w:val="22"/>
        </w:rPr>
        <w:t xml:space="preserve">The dashboard is structured across 8 pages covering 53 total visuals. The data model references multiple fact and dimension tables including bookings, customers, travel_packages, flights, hotels, transportation, payments, visa_applications, reviews, and support_tickets, reflecting a mature, multi-domain data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FF6FF" w:val="clear"/>
            <w:tcMar>
              <w:top w:type="dxa" w:w="120"/>
              <w:left w:type="dxa" w:w="160"/>
              <w:bottom w:type="dxa" w:w="120"/>
              <w:right w:type="dxa" w:w="160"/>
            </w:tcMar>
            <w:vAlign w:val="center"/>
          </w:tcPr>
          <w:p>
            <w:pPr>
              <w:jc w:val="center"/>
            </w:pPr>
            <w:r>
              <w:rPr>
                <w:rFonts w:ascii="Arial" w:cs="Arial" w:eastAsia="Arial" w:hAnsi="Arial"/>
                <w:b/>
                <w:bCs/>
                <w:color w:val="2563EB"/>
                <w:sz w:val="36"/>
                <w:szCs w:val="36"/>
              </w:rPr>
              <w:t xml:space="preserve">8</w:t>
            </w:r>
          </w:p>
          <w:p>
            <w:pPr>
              <w:spacing w:before="40"/>
              <w:jc w:val="center"/>
            </w:pPr>
            <w:r>
              <w:rPr>
                <w:rFonts w:ascii="Arial" w:cs="Arial" w:eastAsia="Arial" w:hAnsi="Arial"/>
                <w:b/>
                <w:bCs/>
                <w:color w:val="334155"/>
                <w:sz w:val="18"/>
                <w:szCs w:val="18"/>
              </w:rPr>
              <w:t xml:space="preserve">Dashboard Pages</w:t>
            </w:r>
          </w:p>
        </w:tc>
        <w:tc>
          <w:tcPr>
            <w:tcW w:type="dxa" w:w="2340"/>
            <w:tcBorders>
              <w:top w:val="none" w:color="FFFFFF" w:sz="0"/>
              <w:left w:val="none" w:color="FFFFFF" w:sz="0"/>
              <w:bottom w:val="none" w:color="FFFFFF" w:sz="0"/>
              <w:right w:val="none" w:color="FFFFFF" w:sz="0"/>
            </w:tcBorders>
            <w:shd w:fill="EFF6FF" w:val="clear"/>
            <w:tcMar>
              <w:top w:type="dxa" w:w="120"/>
              <w:left w:type="dxa" w:w="160"/>
              <w:bottom w:type="dxa" w:w="120"/>
              <w:right w:type="dxa" w:w="160"/>
            </w:tcMar>
            <w:vAlign w:val="center"/>
          </w:tcPr>
          <w:p>
            <w:pPr>
              <w:jc w:val="center"/>
            </w:pPr>
            <w:r>
              <w:rPr>
                <w:rFonts w:ascii="Arial" w:cs="Arial" w:eastAsia="Arial" w:hAnsi="Arial"/>
                <w:b/>
                <w:bCs/>
                <w:color w:val="2563EB"/>
                <w:sz w:val="36"/>
                <w:szCs w:val="36"/>
              </w:rPr>
              <w:t xml:space="preserve">53</w:t>
            </w:r>
          </w:p>
          <w:p>
            <w:pPr>
              <w:spacing w:before="40"/>
              <w:jc w:val="center"/>
            </w:pPr>
            <w:r>
              <w:rPr>
                <w:rFonts w:ascii="Arial" w:cs="Arial" w:eastAsia="Arial" w:hAnsi="Arial"/>
                <w:b/>
                <w:bCs/>
                <w:color w:val="334155"/>
                <w:sz w:val="18"/>
                <w:szCs w:val="18"/>
              </w:rPr>
              <w:t xml:space="preserve">Total Visuals</w:t>
            </w:r>
          </w:p>
        </w:tc>
        <w:tc>
          <w:tcPr>
            <w:tcW w:type="dxa" w:w="2340"/>
            <w:tcBorders>
              <w:top w:val="none" w:color="FFFFFF" w:sz="0"/>
              <w:left w:val="none" w:color="FFFFFF" w:sz="0"/>
              <w:bottom w:val="none" w:color="FFFFFF" w:sz="0"/>
              <w:right w:val="none" w:color="FFFFFF" w:sz="0"/>
            </w:tcBorders>
            <w:shd w:fill="EFF6FF" w:val="clear"/>
            <w:tcMar>
              <w:top w:type="dxa" w:w="120"/>
              <w:left w:type="dxa" w:w="160"/>
              <w:bottom w:type="dxa" w:w="120"/>
              <w:right w:type="dxa" w:w="160"/>
            </w:tcMar>
            <w:vAlign w:val="center"/>
          </w:tcPr>
          <w:p>
            <w:pPr>
              <w:jc w:val="center"/>
            </w:pPr>
            <w:r>
              <w:rPr>
                <w:rFonts w:ascii="Arial" w:cs="Arial" w:eastAsia="Arial" w:hAnsi="Arial"/>
                <w:b/>
                <w:bCs/>
                <w:color w:val="2563EB"/>
                <w:sz w:val="36"/>
                <w:szCs w:val="36"/>
              </w:rPr>
              <w:t xml:space="preserve">10+</w:t>
            </w:r>
          </w:p>
          <w:p>
            <w:pPr>
              <w:spacing w:before="40"/>
              <w:jc w:val="center"/>
            </w:pPr>
            <w:r>
              <w:rPr>
                <w:rFonts w:ascii="Arial" w:cs="Arial" w:eastAsia="Arial" w:hAnsi="Arial"/>
                <w:b/>
                <w:bCs/>
                <w:color w:val="334155"/>
                <w:sz w:val="18"/>
                <w:szCs w:val="18"/>
              </w:rPr>
              <w:t xml:space="preserve">Core Tables</w:t>
            </w:r>
          </w:p>
        </w:tc>
        <w:tc>
          <w:tcPr>
            <w:tcW w:type="dxa" w:w="2340"/>
            <w:tcBorders>
              <w:top w:val="none" w:color="FFFFFF" w:sz="0"/>
              <w:left w:val="none" w:color="FFFFFF" w:sz="0"/>
              <w:bottom w:val="none" w:color="FFFFFF" w:sz="0"/>
              <w:right w:val="none" w:color="FFFFFF" w:sz="0"/>
            </w:tcBorders>
            <w:shd w:fill="EFF6FF" w:val="clear"/>
            <w:tcMar>
              <w:top w:type="dxa" w:w="120"/>
              <w:left w:type="dxa" w:w="160"/>
              <w:bottom w:type="dxa" w:w="120"/>
              <w:right w:type="dxa" w:w="160"/>
            </w:tcMar>
            <w:vAlign w:val="center"/>
          </w:tcPr>
          <w:p>
            <w:pPr>
              <w:jc w:val="center"/>
            </w:pPr>
            <w:r>
              <w:rPr>
                <w:rFonts w:ascii="Arial" w:cs="Arial" w:eastAsia="Arial" w:hAnsi="Arial"/>
                <w:b/>
                <w:bCs/>
                <w:color w:val="2563EB"/>
                <w:sz w:val="36"/>
                <w:szCs w:val="36"/>
              </w:rPr>
              <w:t xml:space="preserve">12+</w:t>
            </w:r>
          </w:p>
          <w:p>
            <w:pPr>
              <w:spacing w:before="40"/>
              <w:jc w:val="center"/>
            </w:pPr>
            <w:r>
              <w:rPr>
                <w:rFonts w:ascii="Arial" w:cs="Arial" w:eastAsia="Arial" w:hAnsi="Arial"/>
                <w:b/>
                <w:bCs/>
                <w:color w:val="334155"/>
                <w:sz w:val="18"/>
                <w:szCs w:val="18"/>
              </w:rPr>
              <w:t xml:space="preserve">Visual Types</w:t>
            </w:r>
          </w:p>
        </w:tc>
      </w:tr>
    </w:tbl>
    <w:p>
      <w:pPr>
        <w:spacing w:after="0" w:before="200"/>
      </w:pPr>
      <w:r>
        <w:rPr>
          <w:rFonts w:ascii="Arial" w:cs="Arial" w:eastAsia="Arial" w:hAnsi="Arial"/>
        </w:rPr>
        <w:t xml:space="preserve"/>
      </w:r>
    </w:p>
    <w:p>
      <w:pPr>
        <w:pBdr>
          <w:bottom w:val="single" w:color="CBD5E1" w:sz="4" w:space="1"/>
        </w:pBdr>
        <w:spacing w:after="120" w:before="120"/>
      </w:pPr>
      <w:r>
        <w:rPr>
          <w:rFonts w:ascii="Arial" w:cs="Arial" w:eastAsia="Arial" w:hAnsi="Arial"/>
        </w:rPr>
        <w:t xml:space="preserve"/>
      </w:r>
    </w:p>
    <w:p>
      <w:pPr>
        <w:pStyle w:val="Heading1"/>
        <w:pBdr>
          <w:bottom w:val="single" w:color="2563EB" w:sz="8" w:space="4"/>
        </w:pBdr>
        <w:spacing w:after="160" w:before="480"/>
      </w:pPr>
      <w:r>
        <w:rPr>
          <w:rFonts w:ascii="Arial" w:cs="Arial" w:eastAsia="Arial" w:hAnsi="Arial"/>
          <w:b/>
          <w:bCs/>
          <w:color w:val="1B2A4A"/>
          <w:sz w:val="36"/>
          <w:szCs w:val="36"/>
        </w:rPr>
        <w:t xml:space="preserve">2. Data Model &amp; Technical Architecture</w:t>
      </w:r>
    </w:p>
    <w:p>
      <w:pPr>
        <w:spacing w:after="100" w:before="60"/>
      </w:pPr>
      <w:r>
        <w:rPr>
          <w:rFonts w:ascii="Arial" w:cs="Arial" w:eastAsia="Arial" w:hAnsi="Arial"/>
          <w:color w:val="0F172A"/>
          <w:sz w:val="22"/>
          <w:szCs w:val="22"/>
        </w:rPr>
        <w:t xml:space="preserve">A robust analytical report begins with an understanding of the underlying data model. The Power BI dataset connects multiple relational tables that together describe the full customer journey from package selection through booking, payment, travel, visa processing, and satisfaction feedback.</w:t>
      </w:r>
    </w:p>
    <w:p>
      <w:pPr>
        <w:pStyle w:val="Heading2"/>
        <w:spacing w:after="120" w:before="360"/>
      </w:pPr>
      <w:r>
        <w:rPr>
          <w:rFonts w:ascii="Arial" w:cs="Arial" w:eastAsia="Arial" w:hAnsi="Arial"/>
          <w:b/>
          <w:bCs/>
          <w:color w:val="1E3A8A"/>
          <w:sz w:val="28"/>
          <w:szCs w:val="28"/>
        </w:rPr>
        <w:t xml:space="preserve">2.1 Core Data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bookings</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Central fact table capturing booking IDs, booking dates, statuses (confirmed/cancelled), and financial metrics such as total revenue, average booking value (ABV), and cancellation rate.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customers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Dimension table with customer demographics including name, gender, state/region, age group, and lifetime value metrics. Enables segmentation analytics.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travel_packages</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Package catalog dimension holding package names, types, and destination countries — the primary basis for revenue and sales breakdowns.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flights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Operational dimension listing airline names associated with bookings, enabling airline performance tracking.</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hotels</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Operational dimension cataloguing hotel names linked to travel bookings for accommodation utilization analysis.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transportation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Dimension capturing vehicle/transport type per booking, supporting ground transportation analytics.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payments</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Financial fact/dimension recording payment method, amount paid, and payment status for all transactions.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visa_applications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Regulatory dimension recording visa country, visa status, and processing days — used for visa approval rate and processing time analytics.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reviews</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Customer experience dimension containing customer ratings and average review scores per booking or package.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support_tickets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Post-sale service dimension capturing ticket issue types and resolution statuses.</w:t>
            </w:r>
          </w:p>
        </w:tc>
      </w:tr>
    </w:tbl>
    <w:p>
      <w:pPr>
        <w:pStyle w:val="Heading2"/>
        <w:spacing w:after="120" w:before="360"/>
      </w:pPr>
      <w:r>
        <w:rPr>
          <w:rFonts w:ascii="Arial" w:cs="Arial" w:eastAsia="Arial" w:hAnsi="Arial"/>
          <w:b/>
          <w:bCs/>
          <w:color w:val="1E3A8A"/>
          <w:sz w:val="28"/>
          <w:szCs w:val="28"/>
        </w:rPr>
        <w:t xml:space="preserve">2.2 Key Calculated Measures</w:t>
      </w:r>
    </w:p>
    <w:p>
      <w:pPr>
        <w:spacing w:after="100" w:before="60"/>
      </w:pPr>
      <w:r>
        <w:rPr>
          <w:rFonts w:ascii="Arial" w:cs="Arial" w:eastAsia="Arial" w:hAnsi="Arial"/>
          <w:color w:val="0F172A"/>
          <w:sz w:val="22"/>
          <w:szCs w:val="22"/>
        </w:rPr>
        <w:t xml:space="preserve">The following measures are defined within the Power BI data model and power the KPI cards and chart aggregations observed across dashboard pages:</w:t>
      </w:r>
    </w:p>
    <w:p>
      <w:pPr>
        <w:pStyle w:val="ListParagraph"/>
        <w:numPr>
          <w:ilvl w:val="0"/>
          <w:numId w:val="2"/>
        </w:numPr>
        <w:spacing w:after="40" w:before="40"/>
      </w:pPr>
      <w:r>
        <w:rPr>
          <w:rFonts w:ascii="Arial" w:cs="Arial" w:eastAsia="Arial" w:hAnsi="Arial"/>
          <w:color w:val="0F172A"/>
          <w:sz w:val="22"/>
          <w:szCs w:val="22"/>
        </w:rPr>
        <w:t xml:space="preserve">tOTALREVENUE — Aggregate revenue measure across all confirmed and in-scope bookings.</w:t>
      </w:r>
    </w:p>
    <w:p>
      <w:pPr>
        <w:pStyle w:val="ListParagraph"/>
        <w:numPr>
          <w:ilvl w:val="0"/>
          <w:numId w:val="2"/>
        </w:numPr>
        <w:spacing w:after="40" w:before="40"/>
      </w:pPr>
      <w:r>
        <w:rPr>
          <w:rFonts w:ascii="Arial" w:cs="Arial" w:eastAsia="Arial" w:hAnsi="Arial"/>
          <w:color w:val="0F172A"/>
          <w:sz w:val="22"/>
          <w:szCs w:val="22"/>
        </w:rPr>
        <w:t xml:space="preserve">TOTALBOOKINGS — Count of total bookings recorded in the fact table.</w:t>
      </w:r>
    </w:p>
    <w:p>
      <w:pPr>
        <w:pStyle w:val="ListParagraph"/>
        <w:numPr>
          <w:ilvl w:val="0"/>
          <w:numId w:val="2"/>
        </w:numPr>
        <w:spacing w:after="40" w:before="40"/>
      </w:pPr>
      <w:r>
        <w:rPr>
          <w:rFonts w:ascii="Arial" w:cs="Arial" w:eastAsia="Arial" w:hAnsi="Arial"/>
          <w:color w:val="0F172A"/>
          <w:sz w:val="22"/>
          <w:szCs w:val="22"/>
        </w:rPr>
        <w:t xml:space="preserve">ABV (Average Booking Value) — Derived ratio: Total Revenue / Total Bookings, measuring average spend per transaction.</w:t>
      </w:r>
    </w:p>
    <w:p>
      <w:pPr>
        <w:pStyle w:val="ListParagraph"/>
        <w:numPr>
          <w:ilvl w:val="0"/>
          <w:numId w:val="2"/>
        </w:numPr>
        <w:spacing w:after="40" w:before="40"/>
      </w:pPr>
      <w:r>
        <w:rPr>
          <w:rFonts w:ascii="Arial" w:cs="Arial" w:eastAsia="Arial" w:hAnsi="Arial"/>
          <w:color w:val="0F172A"/>
          <w:sz w:val="22"/>
          <w:szCs w:val="22"/>
        </w:rPr>
        <w:t xml:space="preserve">CancellationRate — Ratio of cancelled bookings to total bookings, a critical operational health metric.</w:t>
      </w:r>
    </w:p>
    <w:p>
      <w:pPr>
        <w:pStyle w:val="ListParagraph"/>
        <w:numPr>
          <w:ilvl w:val="0"/>
          <w:numId w:val="2"/>
        </w:numPr>
        <w:spacing w:after="40" w:before="40"/>
      </w:pPr>
      <w:r>
        <w:rPr>
          <w:rFonts w:ascii="Arial" w:cs="Arial" w:eastAsia="Arial" w:hAnsi="Arial"/>
          <w:color w:val="0F172A"/>
          <w:sz w:val="22"/>
          <w:szCs w:val="22"/>
        </w:rPr>
        <w:t xml:space="preserve">CONFIRED_BOOKINGS — Count of bookings with a "Confirmed" status, i.e., successful bookings net of cancellations.</w:t>
      </w:r>
    </w:p>
    <w:p>
      <w:pPr>
        <w:pStyle w:val="ListParagraph"/>
        <w:numPr>
          <w:ilvl w:val="0"/>
          <w:numId w:val="2"/>
        </w:numPr>
        <w:spacing w:after="40" w:before="40"/>
      </w:pPr>
      <w:r>
        <w:rPr>
          <w:rFonts w:ascii="Arial" w:cs="Arial" w:eastAsia="Arial" w:hAnsi="Arial"/>
          <w:color w:val="0F172A"/>
          <w:sz w:val="22"/>
          <w:szCs w:val="22"/>
        </w:rPr>
        <w:t xml:space="preserve">Visa Approval Rate — Percentage of visa applications with approved status.</w:t>
      </w:r>
    </w:p>
    <w:p>
      <w:pPr>
        <w:pStyle w:val="ListParagraph"/>
        <w:numPr>
          <w:ilvl w:val="0"/>
          <w:numId w:val="2"/>
        </w:numPr>
        <w:spacing w:after="40" w:before="40"/>
      </w:pPr>
      <w:r>
        <w:rPr>
          <w:rFonts w:ascii="Arial" w:cs="Arial" w:eastAsia="Arial" w:hAnsi="Arial"/>
          <w:color w:val="0F172A"/>
          <w:sz w:val="22"/>
          <w:szCs w:val="22"/>
        </w:rPr>
        <w:t xml:space="preserve">ProcessingDays — Average or sum of days taken to process visa applications by status category.</w:t>
      </w:r>
    </w:p>
    <w:p>
      <w:pPr>
        <w:pStyle w:val="ListParagraph"/>
        <w:numPr>
          <w:ilvl w:val="0"/>
          <w:numId w:val="2"/>
        </w:numPr>
        <w:spacing w:after="40" w:before="40"/>
      </w:pPr>
      <w:r>
        <w:rPr>
          <w:rFonts w:ascii="Arial" w:cs="Arial" w:eastAsia="Arial" w:hAnsi="Arial"/>
          <w:color w:val="0F172A"/>
          <w:sz w:val="22"/>
          <w:szCs w:val="22"/>
        </w:rPr>
        <w:t xml:space="preserve">AverageRating — Mean customer review score across review records.</w:t>
      </w:r>
    </w:p>
    <w:p>
      <w:pPr>
        <w:pBdr>
          <w:bottom w:val="single" w:color="CBD5E1" w:sz="4" w:space="1"/>
        </w:pBdr>
        <w:spacing w:after="120" w:before="120"/>
      </w:pPr>
      <w:r>
        <w:rPr>
          <w:rFonts w:ascii="Arial" w:cs="Arial" w:eastAsia="Arial" w:hAnsi="Arial"/>
        </w:rPr>
        <w:t xml:space="preserve"/>
      </w:r>
    </w:p>
    <w:p>
      <w:pPr>
        <w:pStyle w:val="Heading1"/>
        <w:pBdr>
          <w:bottom w:val="single" w:color="2563EB" w:sz="8" w:space="4"/>
        </w:pBdr>
        <w:spacing w:after="160" w:before="480"/>
      </w:pPr>
      <w:r>
        <w:rPr>
          <w:rFonts w:ascii="Arial" w:cs="Arial" w:eastAsia="Arial" w:hAnsi="Arial"/>
          <w:b/>
          <w:bCs/>
          <w:color w:val="1B2A4A"/>
          <w:sz w:val="36"/>
          <w:szCs w:val="36"/>
        </w:rPr>
        <w:t xml:space="preserve">3. Page-by-Page Dashboard Analysis</w:t>
      </w:r>
    </w:p>
    <w:p>
      <w:pPr>
        <w:pStyle w:val="Heading2"/>
        <w:spacing w:after="120" w:before="360"/>
      </w:pPr>
      <w:r>
        <w:rPr>
          <w:rFonts w:ascii="Arial" w:cs="Arial" w:eastAsia="Arial" w:hAnsi="Arial"/>
          <w:b/>
          <w:bCs/>
          <w:color w:val="1E3A8A"/>
          <w:sz w:val="28"/>
          <w:szCs w:val="28"/>
        </w:rPr>
        <w:t xml:space="preserve">3.1 Executive Summary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r>
              <w:rPr>
                <w:rFonts w:ascii="Arial" w:cs="Arial" w:eastAsia="Arial" w:hAnsi="Arial"/>
                <w:b/>
                <w:bCs/>
                <w:color w:val="1B2A4A"/>
                <w:sz w:val="26"/>
                <w:szCs w:val="26"/>
              </w:rPr>
              <w:t xml:space="preserve">Page Purpose: High-level performance snapshot for C-suite and senior leadership</w:t>
            </w:r>
          </w:p>
        </w:tc>
      </w:tr>
    </w:tbl>
    <w:p>
      <w:pPr>
        <w:spacing w:after="0" w:before="120"/>
      </w:pPr>
      <w:r>
        <w:rPr>
          <w:rFonts w:ascii="Arial" w:cs="Arial" w:eastAsia="Arial" w:hAnsi="Arial"/>
        </w:rPr>
        <w:t xml:space="preserve"/>
      </w:r>
    </w:p>
    <w:p>
      <w:pPr>
        <w:spacing w:after="100" w:before="60"/>
      </w:pPr>
      <w:r>
        <w:rPr>
          <w:rFonts w:ascii="Arial" w:cs="Arial" w:eastAsia="Arial" w:hAnsi="Arial"/>
          <w:color w:val="0F172A"/>
          <w:sz w:val="22"/>
          <w:szCs w:val="22"/>
        </w:rPr>
        <w:t xml:space="preserve">The Executive Summary page is the first point of engagement for any stakeholder and serves as the master KPI dashboard. It aggregates the most critical business metrics into a single view — enabling leadership to assess business health without navigating through detailed analytical pages.</w:t>
      </w:r>
    </w:p>
    <w:p>
      <w:pPr>
        <w:pStyle w:val="Heading3"/>
        <w:spacing w:after="80" w:before="240"/>
      </w:pPr>
      <w:r>
        <w:rPr>
          <w:rFonts w:ascii="Arial" w:cs="Arial" w:eastAsia="Arial" w:hAnsi="Arial"/>
          <w:b/>
          <w:bCs/>
          <w:color w:val="334155"/>
          <w:sz w:val="24"/>
          <w:szCs w:val="24"/>
        </w:rPr>
        <w:t xml:space="preserve">3.1.1 Visual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Visual Count</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18 visuals (5 KPI cards, 3 bar/line charts, 1 donut chart, 1 slicer, 7 images/icons)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KPI Cards (5)</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REVENUE, TOTAL BOOKINGS, AVG BOOKING VALUE (ABV), CANCELLATION RATE, CONFIRMED BOOKINGS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Revenue by Country</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Clustered horizontal bar chart — destination country vs. total revenue, revealing top-performing markets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Month-Wise Revenue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Line chart — time-series trend of revenue across booking date months, supporting seasonality analysis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Booking Status</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Donut chart — distribution of bookings by status (Confirmed / Cancelled / Pending), showing pipeline health</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Top Packages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Clustered bar chart — travel package name vs. total revenue, identifying revenue-driving products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Package Slicer</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Interactive filter by travel package name for drill-through analysis across all visuals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Images/Icons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7 supporting visual icons for navigation and branding (airline, market, profit, average, plane, buttons)</w:t>
            </w:r>
          </w:p>
        </w:tc>
      </w:tr>
    </w:tbl>
    <w:p>
      <w:pPr>
        <w:pStyle w:val="Heading3"/>
        <w:spacing w:after="80" w:before="240"/>
      </w:pPr>
      <w:r>
        <w:rPr>
          <w:rFonts w:ascii="Arial" w:cs="Arial" w:eastAsia="Arial" w:hAnsi="Arial"/>
          <w:b/>
          <w:bCs/>
          <w:color w:val="334155"/>
          <w:sz w:val="24"/>
          <w:szCs w:val="24"/>
        </w:rPr>
        <w:t xml:space="preserve">3.1.2 KPI Deep Dive</w:t>
      </w:r>
    </w:p>
    <w:p>
      <w:pPr>
        <w:spacing w:after="100" w:before="60"/>
      </w:pPr>
      <w:r>
        <w:rPr>
          <w:rFonts w:ascii="Arial" w:cs="Arial" w:eastAsia="Arial" w:hAnsi="Arial"/>
          <w:color w:val="0F172A"/>
          <w:sz w:val="22"/>
          <w:szCs w:val="22"/>
        </w:rPr>
        <w:t xml:space="preserve">Each of the five KPI card visuals on this page represents a pillar of commercial performance:</w:t>
      </w:r>
    </w:p>
    <w:p>
      <w:pPr>
        <w:pStyle w:val="ListParagraph"/>
        <w:numPr>
          <w:ilvl w:val="0"/>
          <w:numId w:val="2"/>
        </w:numPr>
        <w:spacing w:after="40" w:before="40"/>
      </w:pPr>
      <w:r>
        <w:rPr>
          <w:rFonts w:ascii="Arial" w:cs="Arial" w:eastAsia="Arial" w:hAnsi="Arial"/>
          <w:color w:val="0F172A"/>
          <w:sz w:val="22"/>
          <w:szCs w:val="22"/>
        </w:rPr>
        <w:t xml:space="preserve">REVENUE: The headline financial metric — total revenue generated across all booking periods. Font is bold, size 20pt, center-aligned, rendered in the primary theme blue, signalling its top priority in stakeholder review.</w:t>
      </w:r>
    </w:p>
    <w:p>
      <w:pPr>
        <w:pStyle w:val="ListParagraph"/>
        <w:numPr>
          <w:ilvl w:val="0"/>
          <w:numId w:val="2"/>
        </w:numPr>
        <w:spacing w:after="40" w:before="40"/>
      </w:pPr>
      <w:r>
        <w:rPr>
          <w:rFonts w:ascii="Arial" w:cs="Arial" w:eastAsia="Arial" w:hAnsi="Arial"/>
          <w:color w:val="0F172A"/>
          <w:sz w:val="22"/>
          <w:szCs w:val="22"/>
        </w:rPr>
        <w:t xml:space="preserve">TOTAL BOOKINGS: Volume metric providing demand-side insight. Enables conversion and growth analysis when trended over time.</w:t>
      </w:r>
    </w:p>
    <w:p>
      <w:pPr>
        <w:pStyle w:val="ListParagraph"/>
        <w:numPr>
          <w:ilvl w:val="0"/>
          <w:numId w:val="2"/>
        </w:numPr>
        <w:spacing w:after="40" w:before="40"/>
      </w:pPr>
      <w:r>
        <w:rPr>
          <w:rFonts w:ascii="Arial" w:cs="Arial" w:eastAsia="Arial" w:hAnsi="Arial"/>
          <w:color w:val="0F172A"/>
          <w:sz w:val="22"/>
          <w:szCs w:val="22"/>
        </w:rPr>
        <w:t xml:space="preserve">ABV (Average Booking Value): Efficiency metric reflecting the average spend per transaction. A rising ABV signals successful upsell of higher-margin packages.</w:t>
      </w:r>
    </w:p>
    <w:p>
      <w:pPr>
        <w:pStyle w:val="ListParagraph"/>
        <w:numPr>
          <w:ilvl w:val="0"/>
          <w:numId w:val="2"/>
        </w:numPr>
        <w:spacing w:after="40" w:before="40"/>
      </w:pPr>
      <w:r>
        <w:rPr>
          <w:rFonts w:ascii="Arial" w:cs="Arial" w:eastAsia="Arial" w:hAnsi="Arial"/>
          <w:color w:val="0F172A"/>
          <w:sz w:val="22"/>
          <w:szCs w:val="22"/>
        </w:rPr>
        <w:t xml:space="preserve">CANCELLATION RATE: A critical risk indicator. High cancellation rates erode revenue and signal customer dissatisfaction, pricing misalignment, or booking friction. This KPI demands real-time monitoring.</w:t>
      </w:r>
    </w:p>
    <w:p>
      <w:pPr>
        <w:pStyle w:val="ListParagraph"/>
        <w:numPr>
          <w:ilvl w:val="0"/>
          <w:numId w:val="2"/>
        </w:numPr>
        <w:spacing w:after="40" w:before="40"/>
      </w:pPr>
      <w:r>
        <w:rPr>
          <w:rFonts w:ascii="Arial" w:cs="Arial" w:eastAsia="Arial" w:hAnsi="Arial"/>
          <w:color w:val="0F172A"/>
          <w:sz w:val="22"/>
          <w:szCs w:val="22"/>
        </w:rPr>
        <w:t xml:space="preserve">CONFIRMED BOOKINGS: Net bookings after cancellations — the true commercial activity measure. Serves as the denominator for revenue per booking calculations.</w:t>
      </w:r>
    </w:p>
    <w:p>
      <w:pPr>
        <w:pStyle w:val="Heading3"/>
        <w:spacing w:after="80" w:before="240"/>
      </w:pPr>
      <w:r>
        <w:rPr>
          <w:rFonts w:ascii="Arial" w:cs="Arial" w:eastAsia="Arial" w:hAnsi="Arial"/>
          <w:b/>
          <w:bCs/>
          <w:color w:val="334155"/>
          <w:sz w:val="24"/>
          <w:szCs w:val="24"/>
        </w:rPr>
        <w:t xml:space="preserve">3.1.3 Analytical Insights from Visual Design</w:t>
      </w:r>
    </w:p>
    <w:p>
      <w:pPr>
        <w:pStyle w:val="ListParagraph"/>
        <w:numPr>
          <w:ilvl w:val="0"/>
          <w:numId w:val="2"/>
        </w:numPr>
        <w:spacing w:after="40" w:before="40"/>
      </w:pPr>
      <w:r>
        <w:rPr>
          <w:rFonts w:ascii="Arial" w:cs="Arial" w:eastAsia="Arial" w:hAnsi="Arial"/>
          <w:color w:val="0F172A"/>
          <w:sz w:val="22"/>
          <w:szCs w:val="22"/>
        </w:rPr>
        <w:t xml:space="preserve">The revenue-by-country bar chart enables geographic benchmarking. Leadership can identify which destination markets generate the most revenue and reallocate marketing budgets accordingly.</w:t>
      </w:r>
    </w:p>
    <w:p>
      <w:pPr>
        <w:pStyle w:val="ListParagraph"/>
        <w:numPr>
          <w:ilvl w:val="0"/>
          <w:numId w:val="2"/>
        </w:numPr>
        <w:spacing w:after="40" w:before="40"/>
      </w:pPr>
      <w:r>
        <w:rPr>
          <w:rFonts w:ascii="Arial" w:cs="Arial" w:eastAsia="Arial" w:hAnsi="Arial"/>
          <w:color w:val="0F172A"/>
          <w:sz w:val="22"/>
          <w:szCs w:val="22"/>
        </w:rPr>
        <w:t xml:space="preserve">The month-wise line chart surfaces seasonal revenue patterns. Peaks and troughs signal demand cycles that should inform capacity planning, promotional calendars, and staffing decisions.</w:t>
      </w:r>
    </w:p>
    <w:p>
      <w:pPr>
        <w:pStyle w:val="ListParagraph"/>
        <w:numPr>
          <w:ilvl w:val="0"/>
          <w:numId w:val="2"/>
        </w:numPr>
        <w:spacing w:after="40" w:before="40"/>
      </w:pPr>
      <w:r>
        <w:rPr>
          <w:rFonts w:ascii="Arial" w:cs="Arial" w:eastAsia="Arial" w:hAnsi="Arial"/>
          <w:color w:val="0F172A"/>
          <w:sz w:val="22"/>
          <w:szCs w:val="22"/>
        </w:rPr>
        <w:t xml:space="preserve">The booking-status donut provides a pipeline health check. A high proportion of cancelled bookings visible in this chart is a trigger for root-cause analysis across the Customer and Operational pages.</w:t>
      </w:r>
    </w:p>
    <w:p>
      <w:pPr>
        <w:pStyle w:val="ListParagraph"/>
        <w:numPr>
          <w:ilvl w:val="0"/>
          <w:numId w:val="2"/>
        </w:numPr>
        <w:spacing w:after="40" w:before="40"/>
      </w:pPr>
      <w:r>
        <w:rPr>
          <w:rFonts w:ascii="Arial" w:cs="Arial" w:eastAsia="Arial" w:hAnsi="Arial"/>
          <w:color w:val="0F172A"/>
          <w:sz w:val="22"/>
          <w:szCs w:val="22"/>
        </w:rPr>
        <w:t xml:space="preserve">The top-packages bar chart is commercially critical — it directly links product catalogue to revenue outcomes, informing package development, pricing, and promotional prioritisation.</w:t>
      </w:r>
    </w:p>
    <w:p>
      <w:pPr>
        <w:pBdr>
          <w:bottom w:val="single" w:color="CBD5E1" w:sz="4" w:space="1"/>
        </w:pBdr>
        <w:spacing w:after="120" w:before="120"/>
      </w:pPr>
      <w:r>
        <w:rPr>
          <w:rFonts w:ascii="Arial" w:cs="Arial" w:eastAsia="Arial" w:hAnsi="Arial"/>
        </w:rPr>
        <w:t xml:space="preserve"/>
      </w:r>
    </w:p>
    <w:p>
      <w:pPr>
        <w:pStyle w:val="Heading2"/>
        <w:spacing w:after="120" w:before="360"/>
      </w:pPr>
      <w:r>
        <w:rPr>
          <w:rFonts w:ascii="Arial" w:cs="Arial" w:eastAsia="Arial" w:hAnsi="Arial"/>
          <w:b/>
          <w:bCs/>
          <w:color w:val="1E3A8A"/>
          <w:sz w:val="28"/>
          <w:szCs w:val="28"/>
        </w:rPr>
        <w:t xml:space="preserve">3.2 Sales Analytics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r>
              <w:rPr>
                <w:rFonts w:ascii="Arial" w:cs="Arial" w:eastAsia="Arial" w:hAnsi="Arial"/>
                <w:b/>
                <w:bCs/>
                <w:color w:val="1B2A4A"/>
                <w:sz w:val="26"/>
                <w:szCs w:val="26"/>
              </w:rPr>
              <w:t xml:space="preserve">Page Purpose: Granular revenue and sales performance decomposition by product</w:t>
            </w:r>
          </w:p>
        </w:tc>
      </w:tr>
    </w:tbl>
    <w:p>
      <w:pPr>
        <w:spacing w:after="0" w:before="120"/>
      </w:pPr>
      <w:r>
        <w:rPr>
          <w:rFonts w:ascii="Arial" w:cs="Arial" w:eastAsia="Arial" w:hAnsi="Arial"/>
        </w:rPr>
        <w:t xml:space="preserve"/>
      </w:r>
    </w:p>
    <w:p>
      <w:pPr>
        <w:spacing w:after="100" w:before="60"/>
      </w:pPr>
      <w:r>
        <w:rPr>
          <w:rFonts w:ascii="Arial" w:cs="Arial" w:eastAsia="Arial" w:hAnsi="Arial"/>
          <w:color w:val="0F172A"/>
          <w:sz w:val="22"/>
          <w:szCs w:val="22"/>
        </w:rPr>
        <w:t xml:space="preserve">The Sales Analytics page moves beneath the headline revenue number to analyse which products are driving growth, where revenue concentration risk exists, and how different package types contribute to the commercial portfolio.</w:t>
      </w:r>
    </w:p>
    <w:p>
      <w:pPr>
        <w:pStyle w:val="Heading3"/>
        <w:spacing w:after="80" w:before="240"/>
      </w:pPr>
      <w:r>
        <w:rPr>
          <w:rFonts w:ascii="Arial" w:cs="Arial" w:eastAsia="Arial" w:hAnsi="Arial"/>
          <w:b/>
          <w:bCs/>
          <w:color w:val="334155"/>
          <w:sz w:val="24"/>
          <w:szCs w:val="24"/>
        </w:rPr>
        <w:t xml:space="preserve">3.2.1 Visual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Visual Count</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5 visuals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Revenue by Package (Bar)</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Clustered bar chart — top packages ranked by total revenue; mirrors executive view but designed for deeper sales team use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Revenue by Package Type (Bar)</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Clustered bar chart with package type breakdown — distinguishes performance by category (e.g., luxury, budget, adventure)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Treemap</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Total Revenue by Package Name — area-proportional view of revenue concentration; visually surfaces which packages dominate the portfolio</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Waterfall Chart</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Revenue waterfall by package name — shows cumulative revenue build, enabling contribution analysis per product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Package Slicer</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Filter by package name for cross-visual drill-down</w:t>
            </w:r>
          </w:p>
        </w:tc>
      </w:tr>
    </w:tbl>
    <w:p>
      <w:pPr>
        <w:pStyle w:val="Heading3"/>
        <w:spacing w:after="80" w:before="240"/>
      </w:pPr>
      <w:r>
        <w:rPr>
          <w:rFonts w:ascii="Arial" w:cs="Arial" w:eastAsia="Arial" w:hAnsi="Arial"/>
          <w:b/>
          <w:bCs/>
          <w:color w:val="334155"/>
          <w:sz w:val="24"/>
          <w:szCs w:val="24"/>
        </w:rPr>
        <w:t xml:space="preserve">3.2.2 Analytical Insights</w:t>
      </w:r>
    </w:p>
    <w:p>
      <w:pPr>
        <w:pStyle w:val="ListParagraph"/>
        <w:numPr>
          <w:ilvl w:val="0"/>
          <w:numId w:val="2"/>
        </w:numPr>
        <w:spacing w:after="40" w:before="40"/>
      </w:pPr>
      <w:r>
        <w:rPr>
          <w:rFonts w:ascii="Arial" w:cs="Arial" w:eastAsia="Arial" w:hAnsi="Arial"/>
          <w:color w:val="0F172A"/>
          <w:sz w:val="22"/>
          <w:szCs w:val="22"/>
        </w:rPr>
        <w:t xml:space="preserve">The treemap delivers instant visual comprehension of revenue concentration. Packages occupying the largest areas are the business's revenue anchors and warrant protective pricing and inventory strategies.</w:t>
      </w:r>
    </w:p>
    <w:p>
      <w:pPr>
        <w:pStyle w:val="ListParagraph"/>
        <w:numPr>
          <w:ilvl w:val="0"/>
          <w:numId w:val="2"/>
        </w:numPr>
        <w:spacing w:after="40" w:before="40"/>
      </w:pPr>
      <w:r>
        <w:rPr>
          <w:rFonts w:ascii="Arial" w:cs="Arial" w:eastAsia="Arial" w:hAnsi="Arial"/>
          <w:color w:val="0F172A"/>
          <w:sz w:val="22"/>
          <w:szCs w:val="22"/>
        </w:rPr>
        <w:t xml:space="preserve">The waterfall chart is particularly powerful for sales directors — it makes the incremental revenue contribution of each package explicit and comparable, identifying both top contributors and underperformers.</w:t>
      </w:r>
    </w:p>
    <w:p>
      <w:pPr>
        <w:pStyle w:val="ListParagraph"/>
        <w:numPr>
          <w:ilvl w:val="0"/>
          <w:numId w:val="2"/>
        </w:numPr>
        <w:spacing w:after="40" w:before="40"/>
      </w:pPr>
      <w:r>
        <w:rPr>
          <w:rFonts w:ascii="Arial" w:cs="Arial" w:eastAsia="Arial" w:hAnsi="Arial"/>
          <w:color w:val="0F172A"/>
          <w:sz w:val="22"/>
          <w:szCs w:val="22"/>
        </w:rPr>
        <w:t xml:space="preserve">The package type breakdown enables category-level strategic decisions: if budget packages dominate volume but luxury packages dominate revenue, the sales strategy should focus on converting budget customers to premium tiers.</w:t>
      </w:r>
    </w:p>
    <w:p>
      <w:pPr>
        <w:pStyle w:val="ListParagraph"/>
        <w:numPr>
          <w:ilvl w:val="0"/>
          <w:numId w:val="2"/>
        </w:numPr>
        <w:spacing w:after="40" w:before="40"/>
      </w:pPr>
      <w:r>
        <w:rPr>
          <w:rFonts w:ascii="Arial" w:cs="Arial" w:eastAsia="Arial" w:hAnsi="Arial"/>
          <w:color w:val="0F172A"/>
          <w:sz w:val="22"/>
          <w:szCs w:val="22"/>
        </w:rPr>
        <w:t xml:space="preserve">The package slicer enables sales managers to isolate specific product performance without building separate reports — a key self-service capability for regional or product-line teams.</w:t>
      </w:r>
    </w:p>
    <w:p>
      <w:pPr>
        <w:pBdr>
          <w:bottom w:val="single" w:color="CBD5E1" w:sz="4" w:space="1"/>
        </w:pBdr>
        <w:spacing w:after="120" w:before="120"/>
      </w:pPr>
      <w:r>
        <w:rPr>
          <w:rFonts w:ascii="Arial" w:cs="Arial" w:eastAsia="Arial" w:hAnsi="Arial"/>
        </w:rPr>
        <w:t xml:space="preserve"/>
      </w:r>
    </w:p>
    <w:p>
      <w:pPr>
        <w:pStyle w:val="Heading2"/>
        <w:spacing w:after="120" w:before="360"/>
      </w:pPr>
      <w:r>
        <w:rPr>
          <w:rFonts w:ascii="Arial" w:cs="Arial" w:eastAsia="Arial" w:hAnsi="Arial"/>
          <w:b/>
          <w:bCs/>
          <w:color w:val="1E3A8A"/>
          <w:sz w:val="28"/>
          <w:szCs w:val="28"/>
        </w:rPr>
        <w:t xml:space="preserve">3.3 Customer Analytics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r>
              <w:rPr>
                <w:rFonts w:ascii="Arial" w:cs="Arial" w:eastAsia="Arial" w:hAnsi="Arial"/>
                <w:b/>
                <w:bCs/>
                <w:color w:val="1B2A4A"/>
                <w:sz w:val="26"/>
                <w:szCs w:val="26"/>
              </w:rPr>
              <w:t xml:space="preserve">Page Purpose: Customer segmentation, geographic distribution, and lifetime value analysis</w:t>
            </w:r>
          </w:p>
        </w:tc>
      </w:tr>
    </w:tbl>
    <w:p>
      <w:pPr>
        <w:spacing w:after="0" w:before="120"/>
      </w:pPr>
      <w:r>
        <w:rPr>
          <w:rFonts w:ascii="Arial" w:cs="Arial" w:eastAsia="Arial" w:hAnsi="Arial"/>
        </w:rPr>
        <w:t xml:space="preserve"/>
      </w:r>
    </w:p>
    <w:p>
      <w:pPr>
        <w:spacing w:after="100" w:before="60"/>
      </w:pPr>
      <w:r>
        <w:rPr>
          <w:rFonts w:ascii="Arial" w:cs="Arial" w:eastAsia="Arial" w:hAnsi="Arial"/>
          <w:color w:val="0F172A"/>
          <w:sz w:val="22"/>
          <w:szCs w:val="22"/>
        </w:rPr>
        <w:t xml:space="preserve">The Customer Analytics page is the foundation for all customer-centric decision-making. It enables the organisation to understand who their customers are — by geography, gender, age group, and economic value — and to identify high-value customer cohorts for targeted retention and acquisition strategies.</w:t>
      </w:r>
    </w:p>
    <w:p>
      <w:pPr>
        <w:pStyle w:val="Heading3"/>
        <w:spacing w:after="80" w:before="240"/>
      </w:pPr>
      <w:r>
        <w:rPr>
          <w:rFonts w:ascii="Arial" w:cs="Arial" w:eastAsia="Arial" w:hAnsi="Arial"/>
          <w:b/>
          <w:bCs/>
          <w:color w:val="334155"/>
          <w:sz w:val="24"/>
          <w:szCs w:val="24"/>
        </w:rPr>
        <w:t xml:space="preserve">3.3.1 Visual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Visual Count</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10 visuals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KPI Cards (5)</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REVENUE, TOTAL BOOKINGS, ABV, CANCELLATION RATE, CONFIRMED BOOKINGS — contextualised to customer view</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Filled Map</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State-wise customer revenue distribution — geographic choropleth showing which Indian states generate the most bookings and revenue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Customer Slicer</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Filter by customer name for individual customer analysis — supports customer service and account management use cases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Gender Pie Chart</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Count of customers by gender — demographic composition analysis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Age Group Bar Chart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100% stacked column — booking distribution by age group (Youth, Adult, Senior etc.) enabling generational marketing</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Customer LTV Bar</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Horizontal bar chart — individual customer lifetime value ranked by total revenue, identifying top accounts</w:t>
            </w:r>
          </w:p>
        </w:tc>
      </w:tr>
    </w:tbl>
    <w:p>
      <w:pPr>
        <w:pStyle w:val="Heading3"/>
        <w:spacing w:after="80" w:before="240"/>
      </w:pPr>
      <w:r>
        <w:rPr>
          <w:rFonts w:ascii="Arial" w:cs="Arial" w:eastAsia="Arial" w:hAnsi="Arial"/>
          <w:b/>
          <w:bCs/>
          <w:color w:val="334155"/>
          <w:sz w:val="24"/>
          <w:szCs w:val="24"/>
        </w:rPr>
        <w:t xml:space="preserve">3.3.2 Analytical Insights</w:t>
      </w:r>
    </w:p>
    <w:p>
      <w:pPr>
        <w:pStyle w:val="ListParagraph"/>
        <w:numPr>
          <w:ilvl w:val="0"/>
          <w:numId w:val="2"/>
        </w:numPr>
        <w:spacing w:after="40" w:before="40"/>
      </w:pPr>
      <w:r>
        <w:rPr>
          <w:rFonts w:ascii="Arial" w:cs="Arial" w:eastAsia="Arial" w:hAnsi="Arial"/>
          <w:color w:val="0F172A"/>
          <w:sz w:val="22"/>
          <w:szCs w:val="22"/>
        </w:rPr>
        <w:t xml:space="preserve">The state-wise filled map is strategically valuable for expansion planning. High-density revenue states are core markets to defend; low-revenue states with large populations represent untapped expansion opportunities.</w:t>
      </w:r>
    </w:p>
    <w:p>
      <w:pPr>
        <w:pStyle w:val="ListParagraph"/>
        <w:numPr>
          <w:ilvl w:val="0"/>
          <w:numId w:val="2"/>
        </w:numPr>
        <w:spacing w:after="40" w:before="40"/>
      </w:pPr>
      <w:r>
        <w:rPr>
          <w:rFonts w:ascii="Arial" w:cs="Arial" w:eastAsia="Arial" w:hAnsi="Arial"/>
          <w:color w:val="0F172A"/>
          <w:sz w:val="22"/>
          <w:szCs w:val="22"/>
        </w:rPr>
        <w:t xml:space="preserve">The gender distribution pie chart, while demographic, informs content marketing, package design, and communication strategies. Gender-skewed datasets may indicate product-market fit gaps.</w:t>
      </w:r>
    </w:p>
    <w:p>
      <w:pPr>
        <w:pStyle w:val="ListParagraph"/>
        <w:numPr>
          <w:ilvl w:val="0"/>
          <w:numId w:val="2"/>
        </w:numPr>
        <w:spacing w:after="40" w:before="40"/>
      </w:pPr>
      <w:r>
        <w:rPr>
          <w:rFonts w:ascii="Arial" w:cs="Arial" w:eastAsia="Arial" w:hAnsi="Arial"/>
          <w:color w:val="0F172A"/>
          <w:sz w:val="22"/>
          <w:szCs w:val="22"/>
        </w:rPr>
        <w:t xml:space="preserve">Age group analysis reveals generational trends in travel behaviour. If younger cohorts (18-30) dominate bookings but generate lower ABV, upsell campaigns targeting this group could materially improve revenue.</w:t>
      </w:r>
    </w:p>
    <w:p>
      <w:pPr>
        <w:pStyle w:val="ListParagraph"/>
        <w:numPr>
          <w:ilvl w:val="0"/>
          <w:numId w:val="2"/>
        </w:numPr>
        <w:spacing w:after="40" w:before="40"/>
      </w:pPr>
      <w:r>
        <w:rPr>
          <w:rFonts w:ascii="Arial" w:cs="Arial" w:eastAsia="Arial" w:hAnsi="Arial"/>
          <w:color w:val="0F172A"/>
          <w:sz w:val="22"/>
          <w:szCs w:val="22"/>
        </w:rPr>
        <w:t xml:space="preserve">The Customer Lifetime Value (CLV) ranking is a high-value commercial tool. Identifying and protecting the top 10-20 customers by CLV enables key account management programs and personalised retention incentives.</w:t>
      </w:r>
    </w:p>
    <w:p>
      <w:pPr>
        <w:pStyle w:val="ListParagraph"/>
        <w:numPr>
          <w:ilvl w:val="0"/>
          <w:numId w:val="2"/>
        </w:numPr>
        <w:spacing w:after="40" w:before="40"/>
      </w:pPr>
      <w:r>
        <w:rPr>
          <w:rFonts w:ascii="Arial" w:cs="Arial" w:eastAsia="Arial" w:hAnsi="Arial"/>
          <w:color w:val="0F172A"/>
          <w:sz w:val="22"/>
          <w:szCs w:val="22"/>
        </w:rPr>
        <w:t xml:space="preserve">The customer-name slicer enables 360-degree individual account views — essential for VIP customer management and dispute resolution scenarios.</w:t>
      </w:r>
    </w:p>
    <w:p>
      <w:pPr>
        <w:pBdr>
          <w:bottom w:val="single" w:color="CBD5E1" w:sz="4" w:space="1"/>
        </w:pBdr>
        <w:spacing w:after="120" w:before="120"/>
      </w:pPr>
      <w:r>
        <w:rPr>
          <w:rFonts w:ascii="Arial" w:cs="Arial" w:eastAsia="Arial" w:hAnsi="Arial"/>
        </w:rPr>
        <w:t xml:space="preserve"/>
      </w:r>
    </w:p>
    <w:p>
      <w:pPr>
        <w:pStyle w:val="Heading2"/>
        <w:spacing w:after="120" w:before="360"/>
      </w:pPr>
      <w:r>
        <w:rPr>
          <w:rFonts w:ascii="Arial" w:cs="Arial" w:eastAsia="Arial" w:hAnsi="Arial"/>
          <w:b/>
          <w:bCs/>
          <w:color w:val="1E3A8A"/>
          <w:sz w:val="28"/>
          <w:szCs w:val="28"/>
        </w:rPr>
        <w:t xml:space="preserve">3.4 Operational Analytics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r>
              <w:rPr>
                <w:rFonts w:ascii="Arial" w:cs="Arial" w:eastAsia="Arial" w:hAnsi="Arial"/>
                <w:b/>
                <w:bCs/>
                <w:color w:val="1B2A4A"/>
                <w:sz w:val="26"/>
                <w:szCs w:val="26"/>
              </w:rPr>
              <w:t xml:space="preserve">Page Purpose: Travel operations performance across airlines, hotels, transport, and support</w:t>
            </w:r>
          </w:p>
        </w:tc>
      </w:tr>
    </w:tbl>
    <w:p>
      <w:pPr>
        <w:spacing w:after="0" w:before="120"/>
      </w:pPr>
      <w:r>
        <w:rPr>
          <w:rFonts w:ascii="Arial" w:cs="Arial" w:eastAsia="Arial" w:hAnsi="Arial"/>
        </w:rPr>
        <w:t xml:space="preserve"/>
      </w:r>
    </w:p>
    <w:p>
      <w:pPr>
        <w:spacing w:after="100" w:before="60"/>
      </w:pPr>
      <w:r>
        <w:rPr>
          <w:rFonts w:ascii="Arial" w:cs="Arial" w:eastAsia="Arial" w:hAnsi="Arial"/>
          <w:color w:val="0F172A"/>
          <w:sz w:val="22"/>
          <w:szCs w:val="22"/>
        </w:rPr>
        <w:t xml:space="preserve">The Operational Analytics page provides visibility into the travel supply chain — the airlines, hotels, ground transport, and customer support operations that underpin the customer experience. It enables operations directors to identify bottlenecks, optimise supplier relationships, and monitor support ticket health.</w:t>
      </w:r>
    </w:p>
    <w:p>
      <w:pPr>
        <w:pStyle w:val="Heading3"/>
        <w:spacing w:after="80" w:before="240"/>
      </w:pPr>
      <w:r>
        <w:rPr>
          <w:rFonts w:ascii="Arial" w:cs="Arial" w:eastAsia="Arial" w:hAnsi="Arial"/>
          <w:b/>
          <w:bCs/>
          <w:color w:val="334155"/>
          <w:sz w:val="24"/>
          <w:szCs w:val="24"/>
        </w:rPr>
        <w:t xml:space="preserve">3.4.1 Visual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Visual Count</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6 visuals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Airline Slicer</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Filter by airline name — enables airline-specific operational drill-down</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Airline Bookings (Column)</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Count of bookings by airline name — supplier volume analysis identifying primary airline partners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Hotel Bookings (Bar)</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Count of bookings by hotel name — accommodation partner utilization rates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Vehicle Type Donut</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Distribution of transportation bookings by vehicle type (car, bus, train, etc.)</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Ticket Resolution Donut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Support ticket status distribution (Open / Resolved / In Progress) — customer service throughput indicator</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Issue Type Pivot Table</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Breakdown of support ticket issue categories by count — root cause analysis tool for operations teams</w:t>
            </w:r>
          </w:p>
        </w:tc>
      </w:tr>
    </w:tbl>
    <w:p>
      <w:pPr>
        <w:pStyle w:val="Heading3"/>
        <w:spacing w:after="80" w:before="240"/>
      </w:pPr>
      <w:r>
        <w:rPr>
          <w:rFonts w:ascii="Arial" w:cs="Arial" w:eastAsia="Arial" w:hAnsi="Arial"/>
          <w:b/>
          <w:bCs/>
          <w:color w:val="334155"/>
          <w:sz w:val="24"/>
          <w:szCs w:val="24"/>
        </w:rPr>
        <w:t xml:space="preserve">3.4.2 Analytical Insights</w:t>
      </w:r>
    </w:p>
    <w:p>
      <w:pPr>
        <w:pStyle w:val="ListParagraph"/>
        <w:numPr>
          <w:ilvl w:val="0"/>
          <w:numId w:val="2"/>
        </w:numPr>
        <w:spacing w:after="40" w:before="40"/>
      </w:pPr>
      <w:r>
        <w:rPr>
          <w:rFonts w:ascii="Arial" w:cs="Arial" w:eastAsia="Arial" w:hAnsi="Arial"/>
          <w:color w:val="0F172A"/>
          <w:sz w:val="22"/>
          <w:szCs w:val="22"/>
        </w:rPr>
        <w:t xml:space="preserve">The airline booking volume chart reveals supplier concentration risk. Over-reliance on a single airline creates operational vulnerability — this analysis enables proactive diversification of airline partnerships.</w:t>
      </w:r>
    </w:p>
    <w:p>
      <w:pPr>
        <w:pStyle w:val="ListParagraph"/>
        <w:numPr>
          <w:ilvl w:val="0"/>
          <w:numId w:val="2"/>
        </w:numPr>
        <w:spacing w:after="40" w:before="40"/>
      </w:pPr>
      <w:r>
        <w:rPr>
          <w:rFonts w:ascii="Arial" w:cs="Arial" w:eastAsia="Arial" w:hAnsi="Arial"/>
          <w:color w:val="0F172A"/>
          <w:sz w:val="22"/>
          <w:szCs w:val="22"/>
        </w:rPr>
        <w:t xml:space="preserve">Hotel booking distribution informs accommodation partner negotiations. High-volume hotels should be targeted for preferential rate agreements; low-volume partners may warrant re-evaluation.</w:t>
      </w:r>
    </w:p>
    <w:p>
      <w:pPr>
        <w:pStyle w:val="ListParagraph"/>
        <w:numPr>
          <w:ilvl w:val="0"/>
          <w:numId w:val="2"/>
        </w:numPr>
        <w:spacing w:after="40" w:before="40"/>
      </w:pPr>
      <w:r>
        <w:rPr>
          <w:rFonts w:ascii="Arial" w:cs="Arial" w:eastAsia="Arial" w:hAnsi="Arial"/>
          <w:color w:val="0F172A"/>
          <w:sz w:val="22"/>
          <w:szCs w:val="22"/>
        </w:rPr>
        <w:t xml:space="preserve">Vehicle type distribution data is essential for ground transportation logistics planning — it informs fleet capacity requirements and partner agreements with car rental and transfer companies.</w:t>
      </w:r>
    </w:p>
    <w:p>
      <w:pPr>
        <w:pStyle w:val="ListParagraph"/>
        <w:numPr>
          <w:ilvl w:val="0"/>
          <w:numId w:val="2"/>
        </w:numPr>
        <w:spacing w:after="40" w:before="40"/>
      </w:pPr>
      <w:r>
        <w:rPr>
          <w:rFonts w:ascii="Arial" w:cs="Arial" w:eastAsia="Arial" w:hAnsi="Arial"/>
          <w:color w:val="0F172A"/>
          <w:sz w:val="22"/>
          <w:szCs w:val="22"/>
        </w:rPr>
        <w:t xml:space="preserve">The support ticket status donut is a real-time customer service health indicator. A high proportion of open or unresolved tickets signals support capacity issues and threatens customer satisfaction scores.</w:t>
      </w:r>
    </w:p>
    <w:p>
      <w:pPr>
        <w:pStyle w:val="ListParagraph"/>
        <w:numPr>
          <w:ilvl w:val="0"/>
          <w:numId w:val="2"/>
        </w:numPr>
        <w:spacing w:after="40" w:before="40"/>
      </w:pPr>
      <w:r>
        <w:rPr>
          <w:rFonts w:ascii="Arial" w:cs="Arial" w:eastAsia="Arial" w:hAnsi="Arial"/>
          <w:color w:val="0F172A"/>
          <w:sz w:val="22"/>
          <w:szCs w:val="22"/>
        </w:rPr>
        <w:t xml:space="preserve">The issue-type pivot table is the most operationally granular visual on this page. It enables root-cause analysis: if "flight delays" or "hotel check-in issues" dominate tickets, those supply chain nodes require immediate attention.</w:t>
      </w:r>
    </w:p>
    <w:p>
      <w:pPr>
        <w:pBdr>
          <w:bottom w:val="single" w:color="CBD5E1" w:sz="4" w:space="1"/>
        </w:pBdr>
        <w:spacing w:after="120" w:before="120"/>
      </w:pPr>
      <w:r>
        <w:rPr>
          <w:rFonts w:ascii="Arial" w:cs="Arial" w:eastAsia="Arial" w:hAnsi="Arial"/>
        </w:rPr>
        <w:t xml:space="preserve"/>
      </w:r>
    </w:p>
    <w:p>
      <w:pPr>
        <w:pStyle w:val="Heading2"/>
        <w:spacing w:after="120" w:before="360"/>
      </w:pPr>
      <w:r>
        <w:rPr>
          <w:rFonts w:ascii="Arial" w:cs="Arial" w:eastAsia="Arial" w:hAnsi="Arial"/>
          <w:b/>
          <w:bCs/>
          <w:color w:val="1E3A8A"/>
          <w:sz w:val="28"/>
          <w:szCs w:val="28"/>
        </w:rPr>
        <w:t xml:space="preserve">3.5 Payment Analytics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r>
              <w:rPr>
                <w:rFonts w:ascii="Arial" w:cs="Arial" w:eastAsia="Arial" w:hAnsi="Arial"/>
                <w:b/>
                <w:bCs/>
                <w:color w:val="1B2A4A"/>
                <w:sz w:val="26"/>
                <w:szCs w:val="26"/>
              </w:rPr>
              <w:t xml:space="preserve">Page Purpose: Financial transaction analysis by payment method and payment status</w:t>
            </w:r>
          </w:p>
        </w:tc>
      </w:tr>
    </w:tbl>
    <w:p>
      <w:pPr>
        <w:spacing w:after="0" w:before="120"/>
      </w:pPr>
      <w:r>
        <w:rPr>
          <w:rFonts w:ascii="Arial" w:cs="Arial" w:eastAsia="Arial" w:hAnsi="Arial"/>
        </w:rPr>
        <w:t xml:space="preserve"/>
      </w:r>
    </w:p>
    <w:p>
      <w:pPr>
        <w:spacing w:after="100" w:before="60"/>
      </w:pPr>
      <w:r>
        <w:rPr>
          <w:rFonts w:ascii="Arial" w:cs="Arial" w:eastAsia="Arial" w:hAnsi="Arial"/>
          <w:color w:val="0F172A"/>
          <w:sz w:val="22"/>
          <w:szCs w:val="22"/>
        </w:rPr>
        <w:t xml:space="preserve">The Payment Analytics page provides the finance team with end-to-end visibility into transaction health — understanding how customers pay, which payment channels are preferred, and where payment failures or pending statuses create revenue leakage risk.</w:t>
      </w:r>
    </w:p>
    <w:p>
      <w:pPr>
        <w:pStyle w:val="Heading3"/>
        <w:spacing w:after="80" w:before="240"/>
      </w:pPr>
      <w:r>
        <w:rPr>
          <w:rFonts w:ascii="Arial" w:cs="Arial" w:eastAsia="Arial" w:hAnsi="Arial"/>
          <w:b/>
          <w:bCs/>
          <w:color w:val="334155"/>
          <w:sz w:val="24"/>
          <w:szCs w:val="24"/>
        </w:rPr>
        <w:t xml:space="preserve">3.5.1 Visual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Visual Count</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4 visuals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Payment Method Slicer</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Filter by payment method (Credit Card, Debit Card, UPI, Net Banking, etc.)</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Amount by Status Donut</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Sum of amount paid by payment status (Completed / Failed / Pending) — revenue collection health</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Bookings by Status (Column)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Count of bookings by payment status — transaction volume perspective on payment health</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Revenue by Payment Method (Bar)</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Total revenue broken down by payment method — channel performance benchmarking</w:t>
            </w:r>
          </w:p>
        </w:tc>
      </w:tr>
    </w:tbl>
    <w:p>
      <w:pPr>
        <w:pStyle w:val="Heading3"/>
        <w:spacing w:after="80" w:before="240"/>
      </w:pPr>
      <w:r>
        <w:rPr>
          <w:rFonts w:ascii="Arial" w:cs="Arial" w:eastAsia="Arial" w:hAnsi="Arial"/>
          <w:b/>
          <w:bCs/>
          <w:color w:val="334155"/>
          <w:sz w:val="24"/>
          <w:szCs w:val="24"/>
        </w:rPr>
        <w:t xml:space="preserve">3.5.2 Analytical Insights</w:t>
      </w:r>
    </w:p>
    <w:p>
      <w:pPr>
        <w:pStyle w:val="ListParagraph"/>
        <w:numPr>
          <w:ilvl w:val="0"/>
          <w:numId w:val="2"/>
        </w:numPr>
        <w:spacing w:after="40" w:before="40"/>
      </w:pPr>
      <w:r>
        <w:rPr>
          <w:rFonts w:ascii="Arial" w:cs="Arial" w:eastAsia="Arial" w:hAnsi="Arial"/>
          <w:color w:val="0F172A"/>
          <w:sz w:val="22"/>
          <w:szCs w:val="22"/>
        </w:rPr>
        <w:t xml:space="preserve">The amount-by-status donut directly quantifies revenue leakage. The sum of "Pending" and "Failed" payment amounts represents deferred or lost revenue — a direct input to accounts receivable recovery strategies.</w:t>
      </w:r>
    </w:p>
    <w:p>
      <w:pPr>
        <w:pStyle w:val="ListParagraph"/>
        <w:numPr>
          <w:ilvl w:val="0"/>
          <w:numId w:val="2"/>
        </w:numPr>
        <w:spacing w:after="40" w:before="40"/>
      </w:pPr>
      <w:r>
        <w:rPr>
          <w:rFonts w:ascii="Arial" w:cs="Arial" w:eastAsia="Arial" w:hAnsi="Arial"/>
          <w:color w:val="0F172A"/>
          <w:sz w:val="22"/>
          <w:szCs w:val="22"/>
        </w:rPr>
        <w:t xml:space="preserve">Payment method revenue analysis reveals channel preferences and associated business risks. High reliance on a single payment gateway creates collection risk; diversified payment method adoption signals resilient revenue collection.</w:t>
      </w:r>
    </w:p>
    <w:p>
      <w:pPr>
        <w:pStyle w:val="ListParagraph"/>
        <w:numPr>
          <w:ilvl w:val="0"/>
          <w:numId w:val="2"/>
        </w:numPr>
        <w:spacing w:after="40" w:before="40"/>
      </w:pPr>
      <w:r>
        <w:rPr>
          <w:rFonts w:ascii="Arial" w:cs="Arial" w:eastAsia="Arial" w:hAnsi="Arial"/>
          <w:color w:val="0F172A"/>
          <w:sz w:val="22"/>
          <w:szCs w:val="22"/>
        </w:rPr>
        <w:t xml:space="preserve">Correlating payment failure rates with specific booking types or customer segments can identify at-risk customer profiles, enabling proactive payment support intervention.</w:t>
      </w:r>
    </w:p>
    <w:p>
      <w:pPr>
        <w:pStyle w:val="ListParagraph"/>
        <w:numPr>
          <w:ilvl w:val="0"/>
          <w:numId w:val="2"/>
        </w:numPr>
        <w:spacing w:after="40" w:before="40"/>
      </w:pPr>
      <w:r>
        <w:rPr>
          <w:rFonts w:ascii="Arial" w:cs="Arial" w:eastAsia="Arial" w:hAnsi="Arial"/>
          <w:color w:val="0F172A"/>
          <w:sz w:val="22"/>
          <w:szCs w:val="22"/>
        </w:rPr>
        <w:t xml:space="preserve">This page is essential for monthly financial close processes — the finance team can validate collected revenue against total booking value and reconcile differences by payment status.</w:t>
      </w:r>
    </w:p>
    <w:p>
      <w:pPr>
        <w:pBdr>
          <w:bottom w:val="single" w:color="CBD5E1" w:sz="4" w:space="1"/>
        </w:pBdr>
        <w:spacing w:after="120" w:before="120"/>
      </w:pPr>
      <w:r>
        <w:rPr>
          <w:rFonts w:ascii="Arial" w:cs="Arial" w:eastAsia="Arial" w:hAnsi="Arial"/>
        </w:rPr>
        <w:t xml:space="preserve"/>
      </w:r>
    </w:p>
    <w:p>
      <w:pPr>
        <w:pStyle w:val="Heading2"/>
        <w:spacing w:after="120" w:before="360"/>
      </w:pPr>
      <w:r>
        <w:rPr>
          <w:rFonts w:ascii="Arial" w:cs="Arial" w:eastAsia="Arial" w:hAnsi="Arial"/>
          <w:b/>
          <w:bCs/>
          <w:color w:val="1E3A8A"/>
          <w:sz w:val="28"/>
          <w:szCs w:val="28"/>
        </w:rPr>
        <w:t xml:space="preserve">3.6 Visa Analytics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r>
              <w:rPr>
                <w:rFonts w:ascii="Arial" w:cs="Arial" w:eastAsia="Arial" w:hAnsi="Arial"/>
                <w:b/>
                <w:bCs/>
                <w:color w:val="1B2A4A"/>
                <w:sz w:val="26"/>
                <w:szCs w:val="26"/>
              </w:rPr>
              <w:t xml:space="preserve">Page Purpose: Visa application processing performance and approval rate tracking</w:t>
            </w:r>
          </w:p>
        </w:tc>
      </w:tr>
    </w:tbl>
    <w:p>
      <w:pPr>
        <w:spacing w:after="0" w:before="120"/>
      </w:pPr>
      <w:r>
        <w:rPr>
          <w:rFonts w:ascii="Arial" w:cs="Arial" w:eastAsia="Arial" w:hAnsi="Arial"/>
        </w:rPr>
        <w:t xml:space="preserve"/>
      </w:r>
    </w:p>
    <w:p>
      <w:pPr>
        <w:spacing w:after="100" w:before="60"/>
      </w:pPr>
      <w:r>
        <w:rPr>
          <w:rFonts w:ascii="Arial" w:cs="Arial" w:eastAsia="Arial" w:hAnsi="Arial"/>
          <w:color w:val="0F172A"/>
          <w:sz w:val="22"/>
          <w:szCs w:val="22"/>
        </w:rPr>
        <w:t xml:space="preserve">Visa processing is a critical dependency in the international travel booking process. Delays or high rejection rates in visa applications directly impact booking fulfillment rates, customer satisfaction, and revenue recognition. This page provides dedicated analytics for the visa operations team.</w:t>
      </w:r>
    </w:p>
    <w:p>
      <w:pPr>
        <w:pStyle w:val="Heading3"/>
        <w:spacing w:after="80" w:before="240"/>
      </w:pPr>
      <w:r>
        <w:rPr>
          <w:rFonts w:ascii="Arial" w:cs="Arial" w:eastAsia="Arial" w:hAnsi="Arial"/>
          <w:b/>
          <w:bCs/>
          <w:color w:val="334155"/>
          <w:sz w:val="24"/>
          <w:szCs w:val="24"/>
        </w:rPr>
        <w:t xml:space="preserve">3.6.1 Visual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Visual Count</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5 visuals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Navigation Button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Action button for cross-page navigation — UX enhancement for self-service users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Visa Approval Rate Gauge</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Gauge visual displaying the calculated visa approval rate metric — the headline KPI for this page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Visa Country Slicer</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Filter by visa destination country — enables country-specific visa performance analysis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Applications by Country (Bar)</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Sum or count of visa applications by country — volume distribution analysis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Processing Days by Status (Column)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Average/sum of processing days broken down by visa status — processing time efficiency indicator</w:t>
            </w:r>
          </w:p>
        </w:tc>
      </w:tr>
    </w:tbl>
    <w:p>
      <w:pPr>
        <w:pStyle w:val="Heading3"/>
        <w:spacing w:after="80" w:before="240"/>
      </w:pPr>
      <w:r>
        <w:rPr>
          <w:rFonts w:ascii="Arial" w:cs="Arial" w:eastAsia="Arial" w:hAnsi="Arial"/>
          <w:b/>
          <w:bCs/>
          <w:color w:val="334155"/>
          <w:sz w:val="24"/>
          <w:szCs w:val="24"/>
        </w:rPr>
        <w:t xml:space="preserve">3.6.2 Analytical Insights</w:t>
      </w:r>
    </w:p>
    <w:p>
      <w:pPr>
        <w:pStyle w:val="ListParagraph"/>
        <w:numPr>
          <w:ilvl w:val="0"/>
          <w:numId w:val="2"/>
        </w:numPr>
        <w:spacing w:after="40" w:before="40"/>
      </w:pPr>
      <w:r>
        <w:rPr>
          <w:rFonts w:ascii="Arial" w:cs="Arial" w:eastAsia="Arial" w:hAnsi="Arial"/>
          <w:color w:val="0F172A"/>
          <w:sz w:val="22"/>
          <w:szCs w:val="22"/>
        </w:rPr>
        <w:t xml:space="preserve">The Visa Approval Rate gauge is the single most important visual on this page. A declining approval rate is a leading indicator of customer dissatisfaction and booking abandonment — it should be monitored against a defined target threshold.</w:t>
      </w:r>
    </w:p>
    <w:p>
      <w:pPr>
        <w:pStyle w:val="ListParagraph"/>
        <w:numPr>
          <w:ilvl w:val="0"/>
          <w:numId w:val="2"/>
        </w:numPr>
        <w:spacing w:after="40" w:before="40"/>
      </w:pPr>
      <w:r>
        <w:rPr>
          <w:rFonts w:ascii="Arial" w:cs="Arial" w:eastAsia="Arial" w:hAnsi="Arial"/>
          <w:color w:val="0F172A"/>
          <w:sz w:val="22"/>
          <w:szCs w:val="22"/>
        </w:rPr>
        <w:t xml:space="preserve">Country-level visa application volumes identify which destination countries generate the most visa-related work, informing staffing and documentation support resource allocation.</w:t>
      </w:r>
    </w:p>
    <w:p>
      <w:pPr>
        <w:pStyle w:val="ListParagraph"/>
        <w:numPr>
          <w:ilvl w:val="0"/>
          <w:numId w:val="2"/>
        </w:numPr>
        <w:spacing w:after="40" w:before="40"/>
      </w:pPr>
      <w:r>
        <w:rPr>
          <w:rFonts w:ascii="Arial" w:cs="Arial" w:eastAsia="Arial" w:hAnsi="Arial"/>
          <w:color w:val="0F172A"/>
          <w:sz w:val="22"/>
          <w:szCs w:val="22"/>
        </w:rPr>
        <w:t xml:space="preserve">Processing time by visa status enables SLA monitoring. Extended processing days for "Approved" applications may still create customer experience problems; "Rejected" applications with long processing times compound customer frustration.</w:t>
      </w:r>
    </w:p>
    <w:p>
      <w:pPr>
        <w:pStyle w:val="ListParagraph"/>
        <w:numPr>
          <w:ilvl w:val="0"/>
          <w:numId w:val="2"/>
        </w:numPr>
        <w:spacing w:after="40" w:before="40"/>
      </w:pPr>
      <w:r>
        <w:rPr>
          <w:rFonts w:ascii="Arial" w:cs="Arial" w:eastAsia="Arial" w:hAnsi="Arial"/>
          <w:color w:val="0F172A"/>
          <w:sz w:val="22"/>
          <w:szCs w:val="22"/>
        </w:rPr>
        <w:t xml:space="preserve">Correlating high rejection rates with specific visa countries enables proactive customer counselling — informing customers of documentation requirements before submission reduces rejection rates and improves satisfaction.</w:t>
      </w:r>
    </w:p>
    <w:p>
      <w:pPr>
        <w:pBdr>
          <w:bottom w:val="single" w:color="CBD5E1" w:sz="4" w:space="1"/>
        </w:pBdr>
        <w:spacing w:after="120" w:before="120"/>
      </w:pPr>
      <w:r>
        <w:rPr>
          <w:rFonts w:ascii="Arial" w:cs="Arial" w:eastAsia="Arial" w:hAnsi="Arial"/>
        </w:rPr>
        <w:t xml:space="preserve"/>
      </w:r>
    </w:p>
    <w:p>
      <w:pPr>
        <w:pStyle w:val="Heading2"/>
        <w:spacing w:after="120" w:before="360"/>
      </w:pPr>
      <w:r>
        <w:rPr>
          <w:rFonts w:ascii="Arial" w:cs="Arial" w:eastAsia="Arial" w:hAnsi="Arial"/>
          <w:b/>
          <w:bCs/>
          <w:color w:val="1E3A8A"/>
          <w:sz w:val="28"/>
          <w:szCs w:val="28"/>
        </w:rPr>
        <w:t xml:space="preserve">3.7 Customer Satisfaction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r>
              <w:rPr>
                <w:rFonts w:ascii="Arial" w:cs="Arial" w:eastAsia="Arial" w:hAnsi="Arial"/>
                <w:b/>
                <w:bCs/>
                <w:color w:val="1B2A4A"/>
                <w:sz w:val="26"/>
                <w:szCs w:val="26"/>
              </w:rPr>
              <w:t xml:space="preserve">Page Purpose: Post-travel review and rating analysis for experience quality management</w:t>
            </w:r>
          </w:p>
        </w:tc>
      </w:tr>
    </w:tbl>
    <w:p>
      <w:pPr>
        <w:spacing w:after="0" w:before="120"/>
      </w:pPr>
      <w:r>
        <w:rPr>
          <w:rFonts w:ascii="Arial" w:cs="Arial" w:eastAsia="Arial" w:hAnsi="Arial"/>
        </w:rPr>
        <w:t xml:space="preserve"/>
      </w:r>
    </w:p>
    <w:p>
      <w:pPr>
        <w:spacing w:after="100" w:before="60"/>
      </w:pPr>
      <w:r>
        <w:rPr>
          <w:rFonts w:ascii="Arial" w:cs="Arial" w:eastAsia="Arial" w:hAnsi="Arial"/>
          <w:color w:val="0F172A"/>
          <w:sz w:val="22"/>
          <w:szCs w:val="22"/>
        </w:rPr>
        <w:t xml:space="preserve">Customer satisfaction data is the ultimate measure of value delivery. This page aggregates post-travel review ratings to provide the CX (Customer Experience) team and product managers with insight into which packages deliver outstanding experiences and which require quality intervention.</w:t>
      </w:r>
    </w:p>
    <w:p>
      <w:pPr>
        <w:pStyle w:val="Heading3"/>
        <w:spacing w:after="80" w:before="240"/>
      </w:pPr>
      <w:r>
        <w:rPr>
          <w:rFonts w:ascii="Arial" w:cs="Arial" w:eastAsia="Arial" w:hAnsi="Arial"/>
          <w:b/>
          <w:bCs/>
          <w:color w:val="334155"/>
          <w:sz w:val="24"/>
          <w:szCs w:val="24"/>
        </w:rPr>
        <w:t xml:space="preserve">3.7.1 Visual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Visual Count</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4 visuals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Navigation Button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Cross-page navigation action button</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Country Slicer</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Filter by visa/destination country — enables country-level satisfaction analysis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Rating Treemap</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Treemap combining average rating, booking count, and sum of customer ratings by package/booking — multi-metric satisfaction view</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Package Rating Bar</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100% stacked horizontal bar — average rating distribution by travel package, enabling package-level quality benchmarking</w:t>
            </w:r>
          </w:p>
        </w:tc>
      </w:tr>
    </w:tbl>
    <w:p>
      <w:pPr>
        <w:pStyle w:val="Heading3"/>
        <w:spacing w:after="80" w:before="240"/>
      </w:pPr>
      <w:r>
        <w:rPr>
          <w:rFonts w:ascii="Arial" w:cs="Arial" w:eastAsia="Arial" w:hAnsi="Arial"/>
          <w:b/>
          <w:bCs/>
          <w:color w:val="334155"/>
          <w:sz w:val="24"/>
          <w:szCs w:val="24"/>
        </w:rPr>
        <w:t xml:space="preserve">3.7.2 Analytical Insights</w:t>
      </w:r>
    </w:p>
    <w:p>
      <w:pPr>
        <w:pStyle w:val="ListParagraph"/>
        <w:numPr>
          <w:ilvl w:val="0"/>
          <w:numId w:val="2"/>
        </w:numPr>
        <w:spacing w:after="40" w:before="40"/>
      </w:pPr>
      <w:r>
        <w:rPr>
          <w:rFonts w:ascii="Arial" w:cs="Arial" w:eastAsia="Arial" w:hAnsi="Arial"/>
          <w:color w:val="0F172A"/>
          <w:sz w:val="22"/>
          <w:szCs w:val="22"/>
        </w:rPr>
        <w:t xml:space="preserve">The 100% stacked bar by package name is the most actionable visual on this page — it directly maps product quality to customer perception, enabling package managers to identify specific offerings requiring quality improvement.</w:t>
      </w:r>
    </w:p>
    <w:p>
      <w:pPr>
        <w:pStyle w:val="ListParagraph"/>
        <w:numPr>
          <w:ilvl w:val="0"/>
          <w:numId w:val="2"/>
        </w:numPr>
        <w:spacing w:after="40" w:before="40"/>
      </w:pPr>
      <w:r>
        <w:rPr>
          <w:rFonts w:ascii="Arial" w:cs="Arial" w:eastAsia="Arial" w:hAnsi="Arial"/>
          <w:color w:val="0F172A"/>
          <w:sz w:val="22"/>
          <w:szCs w:val="22"/>
        </w:rPr>
        <w:t xml:space="preserve">The rating treemap provides a combined volume-and-quality view: packages with high booking counts but low average ratings represent the highest business risk, as they affect the most customers.</w:t>
      </w:r>
    </w:p>
    <w:p>
      <w:pPr>
        <w:pStyle w:val="ListParagraph"/>
        <w:numPr>
          <w:ilvl w:val="0"/>
          <w:numId w:val="2"/>
        </w:numPr>
        <w:spacing w:after="40" w:before="40"/>
      </w:pPr>
      <w:r>
        <w:rPr>
          <w:rFonts w:ascii="Arial" w:cs="Arial" w:eastAsia="Arial" w:hAnsi="Arial"/>
          <w:color w:val="0F172A"/>
          <w:sz w:val="22"/>
          <w:szCs w:val="22"/>
        </w:rPr>
        <w:t xml:space="preserve">Filtering satisfaction data by destination country allows the CX team to identify geographic correlations with satisfaction — poor ratings from a specific country may indicate logistical, cultural, or supplier quality issues in that market.</w:t>
      </w:r>
    </w:p>
    <w:p>
      <w:pPr>
        <w:pStyle w:val="ListParagraph"/>
        <w:numPr>
          <w:ilvl w:val="0"/>
          <w:numId w:val="2"/>
        </w:numPr>
        <w:spacing w:after="40" w:before="40"/>
      </w:pPr>
      <w:r>
        <w:rPr>
          <w:rFonts w:ascii="Arial" w:cs="Arial" w:eastAsia="Arial" w:hAnsi="Arial"/>
          <w:color w:val="0F172A"/>
          <w:sz w:val="22"/>
          <w:szCs w:val="22"/>
        </w:rPr>
        <w:t xml:space="preserve">Declining average ratings should be cross-referenced with the Operational Analytics support ticket data to identify whether service quality complaints are being captured and resolved.</w:t>
      </w:r>
    </w:p>
    <w:p>
      <w:pPr>
        <w:pBdr>
          <w:bottom w:val="single" w:color="CBD5E1" w:sz="4" w:space="1"/>
        </w:pBdr>
        <w:spacing w:after="120" w:before="120"/>
      </w:pPr>
      <w:r>
        <w:rPr>
          <w:rFonts w:ascii="Arial" w:cs="Arial" w:eastAsia="Arial" w:hAnsi="Arial"/>
        </w:rPr>
        <w:t xml:space="preserve"/>
      </w:r>
    </w:p>
    <w:p>
      <w:pPr>
        <w:pStyle w:val="Heading2"/>
        <w:spacing w:after="120" w:before="360"/>
      </w:pPr>
      <w:r>
        <w:rPr>
          <w:rFonts w:ascii="Arial" w:cs="Arial" w:eastAsia="Arial" w:hAnsi="Arial"/>
          <w:b/>
          <w:bCs/>
          <w:color w:val="1E3A8A"/>
          <w:sz w:val="28"/>
          <w:szCs w:val="28"/>
        </w:rPr>
        <w:t xml:space="preserve">3.8 Final Insights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r>
              <w:rPr>
                <w:rFonts w:ascii="Arial" w:cs="Arial" w:eastAsia="Arial" w:hAnsi="Arial"/>
                <w:b/>
                <w:bCs/>
                <w:color w:val="1B2A4A"/>
                <w:sz w:val="26"/>
                <w:szCs w:val="26"/>
              </w:rPr>
              <w:t xml:space="preserve">Page Purpose: Consolidated narrative insights and strategic summary</w:t>
            </w:r>
          </w:p>
        </w:tc>
      </w:tr>
    </w:tbl>
    <w:p>
      <w:pPr>
        <w:spacing w:after="0" w:before="120"/>
      </w:pPr>
      <w:r>
        <w:rPr>
          <w:rFonts w:ascii="Arial" w:cs="Arial" w:eastAsia="Arial" w:hAnsi="Arial"/>
        </w:rPr>
        <w:t xml:space="preserve"/>
      </w:r>
    </w:p>
    <w:p>
      <w:pPr>
        <w:spacing w:after="100" w:before="60"/>
      </w:pPr>
      <w:r>
        <w:rPr>
          <w:rFonts w:ascii="Arial" w:cs="Arial" w:eastAsia="Arial" w:hAnsi="Arial"/>
          <w:color w:val="0F172A"/>
          <w:sz w:val="22"/>
          <w:szCs w:val="22"/>
        </w:rPr>
        <w:t xml:space="preserve">The Final Insights page contains a single text box visual, indicating that this page is designed to provide a human-authored narrative summary of the dashboard's key findings. In a mature Power BI deployment, this page serves as the "story" layer of the report — bridging data outputs with strategic language for executive audiences.</w:t>
      </w:r>
    </w:p>
    <w:p>
      <w:pPr>
        <w:pStyle w:val="Heading3"/>
        <w:spacing w:after="80" w:before="240"/>
      </w:pPr>
      <w:r>
        <w:rPr>
          <w:rFonts w:ascii="Arial" w:cs="Arial" w:eastAsia="Arial" w:hAnsi="Arial"/>
          <w:b/>
          <w:bCs/>
          <w:color w:val="334155"/>
          <w:sz w:val="24"/>
          <w:szCs w:val="24"/>
        </w:rPr>
        <w:t xml:space="preserve">3.8.1 Design Recommendation</w:t>
      </w:r>
    </w:p>
    <w:p>
      <w:pPr>
        <w:spacing w:after="100" w:before="60"/>
      </w:pPr>
      <w:r>
        <w:rPr>
          <w:rFonts w:ascii="Arial" w:cs="Arial" w:eastAsia="Arial" w:hAnsi="Arial"/>
          <w:color w:val="0F172A"/>
          <w:sz w:val="22"/>
          <w:szCs w:val="22"/>
        </w:rPr>
        <w:t xml:space="preserve">For maximum impact, the Final Insights page should be expanded to include:</w:t>
      </w:r>
    </w:p>
    <w:p>
      <w:pPr>
        <w:pStyle w:val="ListParagraph"/>
        <w:numPr>
          <w:ilvl w:val="0"/>
          <w:numId w:val="2"/>
        </w:numPr>
        <w:spacing w:after="40" w:before="40"/>
      </w:pPr>
      <w:r>
        <w:rPr>
          <w:rFonts w:ascii="Arial" w:cs="Arial" w:eastAsia="Arial" w:hAnsi="Arial"/>
          <w:color w:val="0F172A"/>
          <w:sz w:val="22"/>
          <w:szCs w:val="22"/>
        </w:rPr>
        <w:t xml:space="preserve">A structured narrative aligned to the five KPI dimensions: Revenue, Volume, Efficiency, Risk, and Satisfaction.</w:t>
      </w:r>
    </w:p>
    <w:p>
      <w:pPr>
        <w:pStyle w:val="ListParagraph"/>
        <w:numPr>
          <w:ilvl w:val="0"/>
          <w:numId w:val="2"/>
        </w:numPr>
        <w:spacing w:after="40" w:before="40"/>
      </w:pPr>
      <w:r>
        <w:rPr>
          <w:rFonts w:ascii="Arial" w:cs="Arial" w:eastAsia="Arial" w:hAnsi="Arial"/>
          <w:color w:val="0F172A"/>
          <w:sz w:val="22"/>
          <w:szCs w:val="22"/>
        </w:rPr>
        <w:t xml:space="preserve">Period-over-period performance commentary (if date comparison measures are added to the model).</w:t>
      </w:r>
    </w:p>
    <w:p>
      <w:pPr>
        <w:pStyle w:val="ListParagraph"/>
        <w:numPr>
          <w:ilvl w:val="0"/>
          <w:numId w:val="2"/>
        </w:numPr>
        <w:spacing w:after="40" w:before="40"/>
      </w:pPr>
      <w:r>
        <w:rPr>
          <w:rFonts w:ascii="Arial" w:cs="Arial" w:eastAsia="Arial" w:hAnsi="Arial"/>
          <w:color w:val="0F172A"/>
          <w:sz w:val="22"/>
          <w:szCs w:val="22"/>
        </w:rPr>
        <w:t xml:space="preserve">Annotated key findings with visual callouts referencing specific charts from previous pages.</w:t>
      </w:r>
    </w:p>
    <w:p>
      <w:pPr>
        <w:pStyle w:val="ListParagraph"/>
        <w:numPr>
          <w:ilvl w:val="0"/>
          <w:numId w:val="2"/>
        </w:numPr>
        <w:spacing w:after="40" w:before="40"/>
      </w:pPr>
      <w:r>
        <w:rPr>
          <w:rFonts w:ascii="Arial" w:cs="Arial" w:eastAsia="Arial" w:hAnsi="Arial"/>
          <w:color w:val="0F172A"/>
          <w:sz w:val="22"/>
          <w:szCs w:val="22"/>
        </w:rPr>
        <w:t xml:space="preserve">Clear calls-to-action with accountable owners and timelines for each strategic recommendation.</w:t>
      </w:r>
    </w:p>
    <w:p>
      <w:pPr>
        <w:pBdr>
          <w:bottom w:val="single" w:color="CBD5E1" w:sz="4" w:space="1"/>
        </w:pBdr>
        <w:spacing w:after="120" w:before="120"/>
      </w:pPr>
      <w:r>
        <w:rPr>
          <w:rFonts w:ascii="Arial" w:cs="Arial" w:eastAsia="Arial" w:hAnsi="Arial"/>
        </w:rPr>
        <w:t xml:space="preserve"/>
      </w:r>
    </w:p>
    <w:p>
      <w:pPr>
        <w:pStyle w:val="Heading1"/>
        <w:pBdr>
          <w:bottom w:val="single" w:color="2563EB" w:sz="8" w:space="4"/>
        </w:pBdr>
        <w:spacing w:after="160" w:before="480"/>
      </w:pPr>
      <w:r>
        <w:rPr>
          <w:rFonts w:ascii="Arial" w:cs="Arial" w:eastAsia="Arial" w:hAnsi="Arial"/>
          <w:b/>
          <w:bCs/>
          <w:color w:val="1B2A4A"/>
          <w:sz w:val="36"/>
          <w:szCs w:val="36"/>
        </w:rPr>
        <w:t xml:space="preserve">4. Dashboard Design &amp; UX Assessment</w:t>
      </w:r>
    </w:p>
    <w:p>
      <w:pPr>
        <w:pStyle w:val="Heading2"/>
        <w:spacing w:after="120" w:before="360"/>
      </w:pPr>
      <w:r>
        <w:rPr>
          <w:rFonts w:ascii="Arial" w:cs="Arial" w:eastAsia="Arial" w:hAnsi="Arial"/>
          <w:b/>
          <w:bCs/>
          <w:color w:val="1E3A8A"/>
          <w:sz w:val="28"/>
          <w:szCs w:val="28"/>
        </w:rPr>
        <w:t xml:space="preserve">4.1 Visual Design Standard</w:t>
      </w:r>
    </w:p>
    <w:p>
      <w:pPr>
        <w:spacing w:after="100" w:before="60"/>
      </w:pPr>
      <w:r>
        <w:rPr>
          <w:rFonts w:ascii="Arial" w:cs="Arial" w:eastAsia="Arial" w:hAnsi="Arial"/>
          <w:color w:val="0F172A"/>
          <w:sz w:val="22"/>
          <w:szCs w:val="22"/>
        </w:rPr>
        <w:t xml:space="preserve">The dashboard adopts the Microsoft Power BI CY26SU05 base theme, providing a consistent colour palette anchored by corporate blue (#118DFF) and neutral grays. This approach aligns with enterprise reporting standards and ensures visual coherence across all eight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Theme</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CY26SU05 (Microsoft standard 2026 theme)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Primary Color</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#118DFF — Corporate Blue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Accent/Alert</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#E66C37 — Orange (warnings, alerts)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Positive Signal</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#1AAB40 — Green (good KPI values)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Negative Signal</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#D64550 — Red (bad KPI values)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Neutral Signal</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#D9B300 — Amber (neutral states)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Background</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#FFFFFF — White with light (#F3F2F1) secondary</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Font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DIN (callouts), Segoe UI (headers and labels)</w:t>
            </w:r>
          </w:p>
        </w:tc>
      </w:tr>
    </w:tbl>
    <w:p>
      <w:pPr>
        <w:pStyle w:val="Heading2"/>
        <w:spacing w:after="120" w:before="360"/>
      </w:pPr>
      <w:r>
        <w:rPr>
          <w:rFonts w:ascii="Arial" w:cs="Arial" w:eastAsia="Arial" w:hAnsi="Arial"/>
          <w:b/>
          <w:bCs/>
          <w:color w:val="1E3A8A"/>
          <w:sz w:val="28"/>
          <w:szCs w:val="28"/>
        </w:rPr>
        <w:t xml:space="preserve">4.2 Visual Type Selection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Card Visuals</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Correctly used for scalar KPIs. Font size 20pt with bold formatting ensures readability at distance.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Bar/Column Charts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Appropriate for categorical comparisons (packages, airlines, hotels, countries). Clustered variants correctly used for multi-series data.</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Line Chart</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Correctly applied for time-series revenue trend analysis — most effective visual for temporal patterns.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Donut Charts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Appropriately used for part-to-whole distributions (booking status, payment status, vehicle type). Limited to 3-5 segments for readability.</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Treemap</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High-value choice for revenue concentration analysis — area encoding communicates magnitude intuitively.</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Waterfall Chart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Excellent choice for incremental revenue contribution analysis — correctly applied to package-level sales decomposition.</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Filled Map</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Well-suited for geographic distribution of customer revenue — effective for India state-level analysis.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Gauge Visual</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Appropriate for approval rate KPI with a defined target — provides immediate at-a-glance status.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100% Stacked Bar/Column</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Correctly used for proportional comparisons (age group bookings, package ratings) where the total is less important than composition.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Pivot Table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Appropriate for support ticket issue-type breakdown — enables precise numeric reference.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Slicers</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Well-deployed across all pages as interactive filters — enables self-service analytics without requiring separate reports.</w:t>
            </w:r>
          </w:p>
        </w:tc>
      </w:tr>
    </w:tbl>
    <w:p>
      <w:pPr>
        <w:pStyle w:val="Heading2"/>
        <w:spacing w:after="120" w:before="360"/>
      </w:pPr>
      <w:r>
        <w:rPr>
          <w:rFonts w:ascii="Arial" w:cs="Arial" w:eastAsia="Arial" w:hAnsi="Arial"/>
          <w:b/>
          <w:bCs/>
          <w:color w:val="1E3A8A"/>
          <w:sz w:val="28"/>
          <w:szCs w:val="28"/>
        </w:rPr>
        <w:t xml:space="preserve">4.3 Areas for Enhancement</w:t>
      </w:r>
    </w:p>
    <w:p>
      <w:pPr>
        <w:pStyle w:val="ListParagraph"/>
        <w:numPr>
          <w:ilvl w:val="0"/>
          <w:numId w:val="2"/>
        </w:numPr>
        <w:spacing w:after="40" w:before="40"/>
      </w:pPr>
      <w:r>
        <w:rPr>
          <w:rFonts w:ascii="Arial" w:cs="Arial" w:eastAsia="Arial" w:hAnsi="Arial"/>
          <w:color w:val="0F172A"/>
          <w:sz w:val="22"/>
          <w:szCs w:val="22"/>
        </w:rPr>
        <w:t xml:space="preserve">Tooltip Enhancement: Custom tooltips on key visuals (e.g., country revenue bar) could display contextual sub-metrics (% of total, booking count) without cluttering the main view.</w:t>
      </w:r>
    </w:p>
    <w:p>
      <w:pPr>
        <w:pStyle w:val="ListParagraph"/>
        <w:numPr>
          <w:ilvl w:val="0"/>
          <w:numId w:val="2"/>
        </w:numPr>
        <w:spacing w:after="40" w:before="40"/>
      </w:pPr>
      <w:r>
        <w:rPr>
          <w:rFonts w:ascii="Arial" w:cs="Arial" w:eastAsia="Arial" w:hAnsi="Arial"/>
          <w:color w:val="0F172A"/>
          <w:sz w:val="22"/>
          <w:szCs w:val="22"/>
        </w:rPr>
        <w:t xml:space="preserve">Drill-Through Pages: Adding drill-through navigation from Executive Summary KPI cards to individual analytical pages would improve stakeholder self-service capability.</w:t>
      </w:r>
    </w:p>
    <w:p>
      <w:pPr>
        <w:pStyle w:val="ListParagraph"/>
        <w:numPr>
          <w:ilvl w:val="0"/>
          <w:numId w:val="2"/>
        </w:numPr>
        <w:spacing w:after="40" w:before="40"/>
      </w:pPr>
      <w:r>
        <w:rPr>
          <w:rFonts w:ascii="Arial" w:cs="Arial" w:eastAsia="Arial" w:hAnsi="Arial"/>
          <w:color w:val="0F172A"/>
          <w:sz w:val="22"/>
          <w:szCs w:val="22"/>
        </w:rPr>
        <w:t xml:space="preserve">Dynamic Titles: Visual titles should dynamically update based on slicer selections (e.g., "Revenue by Country — Adventure Packages") to reduce interpretation ambiguity.</w:t>
      </w:r>
    </w:p>
    <w:p>
      <w:pPr>
        <w:pStyle w:val="ListParagraph"/>
        <w:numPr>
          <w:ilvl w:val="0"/>
          <w:numId w:val="2"/>
        </w:numPr>
        <w:spacing w:after="40" w:before="40"/>
      </w:pPr>
      <w:r>
        <w:rPr>
          <w:rFonts w:ascii="Arial" w:cs="Arial" w:eastAsia="Arial" w:hAnsi="Arial"/>
          <w:color w:val="0F172A"/>
          <w:sz w:val="22"/>
          <w:szCs w:val="22"/>
        </w:rPr>
        <w:t xml:space="preserve">Conditional Formatting: KPI cards should incorporate colour-coded background or icon indicators (green/amber/red) tied to defined performance thresholds to enable instant health assessment.</w:t>
      </w:r>
    </w:p>
    <w:p>
      <w:pPr>
        <w:pStyle w:val="ListParagraph"/>
        <w:numPr>
          <w:ilvl w:val="0"/>
          <w:numId w:val="2"/>
        </w:numPr>
        <w:spacing w:after="40" w:before="40"/>
      </w:pPr>
      <w:r>
        <w:rPr>
          <w:rFonts w:ascii="Arial" w:cs="Arial" w:eastAsia="Arial" w:hAnsi="Arial"/>
          <w:color w:val="0F172A"/>
          <w:sz w:val="22"/>
          <w:szCs w:val="22"/>
        </w:rPr>
        <w:t xml:space="preserve">Date Slicer: A date-range slicer is conspicuously absent on most pages. Adding period selection would unlock YoY, QoQ, and MoM comparison capabilities.</w:t>
      </w:r>
    </w:p>
    <w:p>
      <w:pPr>
        <w:pStyle w:val="ListParagraph"/>
        <w:numPr>
          <w:ilvl w:val="0"/>
          <w:numId w:val="2"/>
        </w:numPr>
        <w:spacing w:after="40" w:before="40"/>
      </w:pPr>
      <w:r>
        <w:rPr>
          <w:rFonts w:ascii="Arial" w:cs="Arial" w:eastAsia="Arial" w:hAnsi="Arial"/>
          <w:color w:val="0F172A"/>
          <w:sz w:val="22"/>
          <w:szCs w:val="22"/>
        </w:rPr>
        <w:t xml:space="preserve">Mobile Layout: Define mobile-optimised layouts for executive KPI pages to support on-the-go access from tablets and smartphones.</w:t>
      </w:r>
    </w:p>
    <w:p>
      <w:pPr>
        <w:pBdr>
          <w:bottom w:val="single" w:color="CBD5E1" w:sz="4" w:space="1"/>
        </w:pBdr>
        <w:spacing w:after="120" w:before="120"/>
      </w:pPr>
      <w:r>
        <w:rPr>
          <w:rFonts w:ascii="Arial" w:cs="Arial" w:eastAsia="Arial" w:hAnsi="Arial"/>
        </w:rPr>
        <w:t xml:space="preserve"/>
      </w:r>
    </w:p>
    <w:p>
      <w:pPr>
        <w:pStyle w:val="Heading1"/>
        <w:pBdr>
          <w:bottom w:val="single" w:color="2563EB" w:sz="8" w:space="4"/>
        </w:pBdr>
        <w:spacing w:after="160" w:before="480"/>
      </w:pPr>
      <w:r>
        <w:rPr>
          <w:rFonts w:ascii="Arial" w:cs="Arial" w:eastAsia="Arial" w:hAnsi="Arial"/>
          <w:b/>
          <w:bCs/>
          <w:color w:val="1B2A4A"/>
          <w:sz w:val="36"/>
          <w:szCs w:val="36"/>
        </w:rPr>
        <w:t xml:space="preserve">5. Strategic Insights &amp; Recommendations</w:t>
      </w:r>
    </w:p>
    <w:p>
      <w:pPr>
        <w:pStyle w:val="Heading2"/>
        <w:spacing w:after="120" w:before="360"/>
      </w:pPr>
      <w:r>
        <w:rPr>
          <w:rFonts w:ascii="Arial" w:cs="Arial" w:eastAsia="Arial" w:hAnsi="Arial"/>
          <w:b/>
          <w:bCs/>
          <w:color w:val="1E3A8A"/>
          <w:sz w:val="28"/>
          <w:szCs w:val="28"/>
        </w:rPr>
        <w:t xml:space="preserve">5.1 Revenue &amp; Commercial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A580C" w:sz="12"/>
              <w:bottom w:val="none" w:color="FFFFFF" w:sz="0"/>
              <w:right w:val="none" w:color="FFFFFF" w:sz="0"/>
            </w:tcBorders>
            <w:shd w:fill="FFF7ED" w:val="clear"/>
            <w:tcMar>
              <w:top w:type="dxa" w:w="80"/>
              <w:left w:type="dxa" w:w="200"/>
              <w:bottom w:type="dxa" w:w="80"/>
              <w:right w:type="dxa" w:w="200"/>
            </w:tcMar>
          </w:tcPr>
          <w:p>
            <w:pPr>
              <w:spacing w:after="40" w:before="40"/>
            </w:pPr>
            <w:r>
              <w:rPr>
                <w:rFonts w:ascii="Arial" w:cs="Arial" w:eastAsia="Arial" w:hAnsi="Arial"/>
                <w:b/>
                <w:bCs/>
                <w:color w:val="EA580C"/>
                <w:sz w:val="22"/>
                <w:szCs w:val="22"/>
              </w:rPr>
              <w:t xml:space="preserve">REC-01:  </w:t>
            </w:r>
            <w:r>
              <w:rPr>
                <w:rFonts w:ascii="Arial" w:cs="Arial" w:eastAsia="Arial" w:hAnsi="Arial"/>
                <w:color w:val="0F172A"/>
                <w:sz w:val="20"/>
                <w:szCs w:val="20"/>
              </w:rPr>
              <w:t xml:space="preserve">Identify the top 3 revenue-generating travel packages from the Sales Analytics treemap and prioritize them in marketing spend, inventory allocation, and agent training. Protect their profitability through pricing discipline.</w:t>
            </w:r>
          </w:p>
        </w:tc>
      </w:tr>
      <w:tr>
        <w:tc>
          <w:tcPr>
            <w:tcW w:type="dxa" w:w="9360"/>
            <w:tcBorders>
              <w:top w:val="none" w:color="FFFFFF" w:sz="0"/>
              <w:left w:val="single" w:color="EA580C" w:sz="12"/>
              <w:bottom w:val="none" w:color="FFFFFF" w:sz="0"/>
              <w:right w:val="none" w:color="FFFFFF" w:sz="0"/>
            </w:tcBorders>
            <w:shd w:fill="FFF7ED" w:val="clear"/>
            <w:tcMar>
              <w:top w:type="dxa" w:w="80"/>
              <w:left w:type="dxa" w:w="200"/>
              <w:bottom w:type="dxa" w:w="80"/>
              <w:right w:type="dxa" w:w="200"/>
            </w:tcMar>
          </w:tcPr>
          <w:p>
            <w:pPr>
              <w:spacing w:after="40" w:before="40"/>
            </w:pPr>
            <w:r>
              <w:rPr>
                <w:rFonts w:ascii="Arial" w:cs="Arial" w:eastAsia="Arial" w:hAnsi="Arial"/>
                <w:b/>
                <w:bCs/>
                <w:color w:val="EA580C"/>
                <w:sz w:val="22"/>
                <w:szCs w:val="22"/>
              </w:rPr>
              <w:t xml:space="preserve">REC-02:  </w:t>
            </w:r>
            <w:r>
              <w:rPr>
                <w:rFonts w:ascii="Arial" w:cs="Arial" w:eastAsia="Arial" w:hAnsi="Arial"/>
                <w:color w:val="0F172A"/>
                <w:sz w:val="20"/>
                <w:szCs w:val="20"/>
              </w:rPr>
              <w:t xml:space="preserve">Analyse the geographic revenue map to identify the top 5 states by customer revenue. Design state-specific promotional campaigns to deepen penetration in core markets and test acquisition campaigns in high-population, low-revenue states.</w:t>
            </w:r>
          </w:p>
        </w:tc>
      </w:tr>
      <w:tr>
        <w:tc>
          <w:tcPr>
            <w:tcW w:type="dxa" w:w="9360"/>
            <w:tcBorders>
              <w:top w:val="none" w:color="FFFFFF" w:sz="0"/>
              <w:left w:val="single" w:color="EA580C" w:sz="12"/>
              <w:bottom w:val="none" w:color="FFFFFF" w:sz="0"/>
              <w:right w:val="none" w:color="FFFFFF" w:sz="0"/>
            </w:tcBorders>
            <w:shd w:fill="FFF7ED" w:val="clear"/>
            <w:tcMar>
              <w:top w:type="dxa" w:w="80"/>
              <w:left w:type="dxa" w:w="200"/>
              <w:bottom w:type="dxa" w:w="80"/>
              <w:right w:type="dxa" w:w="200"/>
            </w:tcMar>
          </w:tcPr>
          <w:p>
            <w:pPr>
              <w:spacing w:after="40" w:before="40"/>
            </w:pPr>
            <w:r>
              <w:rPr>
                <w:rFonts w:ascii="Arial" w:cs="Arial" w:eastAsia="Arial" w:hAnsi="Arial"/>
                <w:b/>
                <w:bCs/>
                <w:color w:val="EA580C"/>
                <w:sz w:val="22"/>
                <w:szCs w:val="22"/>
              </w:rPr>
              <w:t xml:space="preserve">REC-03:  </w:t>
            </w:r>
            <w:r>
              <w:rPr>
                <w:rFonts w:ascii="Arial" w:cs="Arial" w:eastAsia="Arial" w:hAnsi="Arial"/>
                <w:color w:val="0F172A"/>
                <w:sz w:val="20"/>
                <w:szCs w:val="20"/>
              </w:rPr>
              <w:t xml:space="preserve">Use the month-wise revenue line chart to build a seasonal demand calendar. Align package promotions, pricing (surge/discount), and marketing budgets to demand peaks and troughs identified from historical booking date trends.</w:t>
            </w:r>
          </w:p>
        </w:tc>
      </w:tr>
    </w:tbl>
    <w:p>
      <w:pPr>
        <w:pStyle w:val="Heading2"/>
        <w:spacing w:after="120" w:before="360"/>
      </w:pPr>
      <w:r>
        <w:rPr>
          <w:rFonts w:ascii="Arial" w:cs="Arial" w:eastAsia="Arial" w:hAnsi="Arial"/>
          <w:b/>
          <w:bCs/>
          <w:color w:val="1E3A8A"/>
          <w:sz w:val="28"/>
          <w:szCs w:val="28"/>
        </w:rPr>
        <w:t xml:space="preserve">5.2 Customer Retention &amp;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A580C" w:sz="12"/>
              <w:bottom w:val="none" w:color="FFFFFF" w:sz="0"/>
              <w:right w:val="none" w:color="FFFFFF" w:sz="0"/>
            </w:tcBorders>
            <w:shd w:fill="FFF7ED" w:val="clear"/>
            <w:tcMar>
              <w:top w:type="dxa" w:w="80"/>
              <w:left w:type="dxa" w:w="200"/>
              <w:bottom w:type="dxa" w:w="80"/>
              <w:right w:type="dxa" w:w="200"/>
            </w:tcMar>
          </w:tcPr>
          <w:p>
            <w:pPr>
              <w:spacing w:after="40" w:before="40"/>
            </w:pPr>
            <w:r>
              <w:rPr>
                <w:rFonts w:ascii="Arial" w:cs="Arial" w:eastAsia="Arial" w:hAnsi="Arial"/>
                <w:b/>
                <w:bCs/>
                <w:color w:val="EA580C"/>
                <w:sz w:val="22"/>
                <w:szCs w:val="22"/>
              </w:rPr>
              <w:t xml:space="preserve">REC-04:  </w:t>
            </w:r>
            <w:r>
              <w:rPr>
                <w:rFonts w:ascii="Arial" w:cs="Arial" w:eastAsia="Arial" w:hAnsi="Arial"/>
                <w:color w:val="0F172A"/>
                <w:sz w:val="20"/>
                <w:szCs w:val="20"/>
              </w:rPr>
              <w:t xml:space="preserve">Implement a formal Customer Lifetime Value (CLV) program. The top 20 customers by revenue identified in the Customer Analytics page should receive dedicated account management, priority booking access, and personalised loyalty incentives.</w:t>
            </w:r>
          </w:p>
        </w:tc>
      </w:tr>
      <w:tr>
        <w:tc>
          <w:tcPr>
            <w:tcW w:type="dxa" w:w="9360"/>
            <w:tcBorders>
              <w:top w:val="none" w:color="FFFFFF" w:sz="0"/>
              <w:left w:val="single" w:color="EA580C" w:sz="12"/>
              <w:bottom w:val="none" w:color="FFFFFF" w:sz="0"/>
              <w:right w:val="none" w:color="FFFFFF" w:sz="0"/>
            </w:tcBorders>
            <w:shd w:fill="FFF7ED" w:val="clear"/>
            <w:tcMar>
              <w:top w:type="dxa" w:w="80"/>
              <w:left w:type="dxa" w:w="200"/>
              <w:bottom w:type="dxa" w:w="80"/>
              <w:right w:type="dxa" w:w="200"/>
            </w:tcMar>
          </w:tcPr>
          <w:p>
            <w:pPr>
              <w:spacing w:after="40" w:before="40"/>
            </w:pPr>
            <w:r>
              <w:rPr>
                <w:rFonts w:ascii="Arial" w:cs="Arial" w:eastAsia="Arial" w:hAnsi="Arial"/>
                <w:b/>
                <w:bCs/>
                <w:color w:val="EA580C"/>
                <w:sz w:val="22"/>
                <w:szCs w:val="22"/>
              </w:rPr>
              <w:t xml:space="preserve">REC-05:  </w:t>
            </w:r>
            <w:r>
              <w:rPr>
                <w:rFonts w:ascii="Arial" w:cs="Arial" w:eastAsia="Arial" w:hAnsi="Arial"/>
                <w:color w:val="0F172A"/>
                <w:sz w:val="20"/>
                <w:szCs w:val="20"/>
              </w:rPr>
              <w:t xml:space="preserve">Develop age-group-specific package bundles based on the age group booking distribution analysis. Youth-focused adventure packages and senior-focused comfort-oriented packages can significantly expand addressable market.</w:t>
            </w:r>
          </w:p>
        </w:tc>
      </w:tr>
      <w:tr>
        <w:tc>
          <w:tcPr>
            <w:tcW w:type="dxa" w:w="9360"/>
            <w:tcBorders>
              <w:top w:val="none" w:color="FFFFFF" w:sz="0"/>
              <w:left w:val="single" w:color="EA580C" w:sz="12"/>
              <w:bottom w:val="none" w:color="FFFFFF" w:sz="0"/>
              <w:right w:val="none" w:color="FFFFFF" w:sz="0"/>
            </w:tcBorders>
            <w:shd w:fill="FFF7ED" w:val="clear"/>
            <w:tcMar>
              <w:top w:type="dxa" w:w="80"/>
              <w:left w:type="dxa" w:w="200"/>
              <w:bottom w:type="dxa" w:w="80"/>
              <w:right w:type="dxa" w:w="200"/>
            </w:tcMar>
          </w:tcPr>
          <w:p>
            <w:pPr>
              <w:spacing w:after="40" w:before="40"/>
            </w:pPr>
            <w:r>
              <w:rPr>
                <w:rFonts w:ascii="Arial" w:cs="Arial" w:eastAsia="Arial" w:hAnsi="Arial"/>
                <w:b/>
                <w:bCs/>
                <w:color w:val="EA580C"/>
                <w:sz w:val="22"/>
                <w:szCs w:val="22"/>
              </w:rPr>
              <w:t xml:space="preserve">REC-06:  </w:t>
            </w:r>
            <w:r>
              <w:rPr>
                <w:rFonts w:ascii="Arial" w:cs="Arial" w:eastAsia="Arial" w:hAnsi="Arial"/>
                <w:color w:val="0F172A"/>
                <w:sz w:val="20"/>
                <w:szCs w:val="20"/>
              </w:rPr>
              <w:t xml:space="preserve">Investigate cancellation drivers in collaboration with the Customer Analytics and Operational Analytics teams. High cancellation rates correlate with revenue risk — identify whether cancellations are concentrated in specific packages, geographies, or customer segments.</w:t>
            </w:r>
          </w:p>
        </w:tc>
      </w:tr>
    </w:tbl>
    <w:p>
      <w:pPr>
        <w:pStyle w:val="Heading2"/>
        <w:spacing w:after="120" w:before="360"/>
      </w:pPr>
      <w:r>
        <w:rPr>
          <w:rFonts w:ascii="Arial" w:cs="Arial" w:eastAsia="Arial" w:hAnsi="Arial"/>
          <w:b/>
          <w:bCs/>
          <w:color w:val="1E3A8A"/>
          <w:sz w:val="28"/>
          <w:szCs w:val="28"/>
        </w:rPr>
        <w:t xml:space="preserve">5.3 Operational Excellence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A580C" w:sz="12"/>
              <w:bottom w:val="none" w:color="FFFFFF" w:sz="0"/>
              <w:right w:val="none" w:color="FFFFFF" w:sz="0"/>
            </w:tcBorders>
            <w:shd w:fill="FFF7ED" w:val="clear"/>
            <w:tcMar>
              <w:top w:type="dxa" w:w="80"/>
              <w:left w:type="dxa" w:w="200"/>
              <w:bottom w:type="dxa" w:w="80"/>
              <w:right w:type="dxa" w:w="200"/>
            </w:tcMar>
          </w:tcPr>
          <w:p>
            <w:pPr>
              <w:spacing w:after="40" w:before="40"/>
            </w:pPr>
            <w:r>
              <w:rPr>
                <w:rFonts w:ascii="Arial" w:cs="Arial" w:eastAsia="Arial" w:hAnsi="Arial"/>
                <w:b/>
                <w:bCs/>
                <w:color w:val="EA580C"/>
                <w:sz w:val="22"/>
                <w:szCs w:val="22"/>
              </w:rPr>
              <w:t xml:space="preserve">REC-07:  </w:t>
            </w:r>
            <w:r>
              <w:rPr>
                <w:rFonts w:ascii="Arial" w:cs="Arial" w:eastAsia="Arial" w:hAnsi="Arial"/>
                <w:color w:val="0F172A"/>
                <w:sz w:val="20"/>
                <w:szCs w:val="20"/>
              </w:rPr>
              <w:t xml:space="preserve">Implement airline partner SLAs based on booking volume data. Negotiate preferred rates with high-volume airline partners and establish minimum booking commitments to secure capacity and pricing advantages.</w:t>
            </w:r>
          </w:p>
        </w:tc>
      </w:tr>
      <w:tr>
        <w:tc>
          <w:tcPr>
            <w:tcW w:type="dxa" w:w="9360"/>
            <w:tcBorders>
              <w:top w:val="none" w:color="FFFFFF" w:sz="0"/>
              <w:left w:val="single" w:color="EA580C" w:sz="12"/>
              <w:bottom w:val="none" w:color="FFFFFF" w:sz="0"/>
              <w:right w:val="none" w:color="FFFFFF" w:sz="0"/>
            </w:tcBorders>
            <w:shd w:fill="FFF7ED" w:val="clear"/>
            <w:tcMar>
              <w:top w:type="dxa" w:w="80"/>
              <w:left w:type="dxa" w:w="200"/>
              <w:bottom w:type="dxa" w:w="80"/>
              <w:right w:type="dxa" w:w="200"/>
            </w:tcMar>
          </w:tcPr>
          <w:p>
            <w:pPr>
              <w:spacing w:after="40" w:before="40"/>
            </w:pPr>
            <w:r>
              <w:rPr>
                <w:rFonts w:ascii="Arial" w:cs="Arial" w:eastAsia="Arial" w:hAnsi="Arial"/>
                <w:b/>
                <w:bCs/>
                <w:color w:val="EA580C"/>
                <w:sz w:val="22"/>
                <w:szCs w:val="22"/>
              </w:rPr>
              <w:t xml:space="preserve">REC-08:  </w:t>
            </w:r>
            <w:r>
              <w:rPr>
                <w:rFonts w:ascii="Arial" w:cs="Arial" w:eastAsia="Arial" w:hAnsi="Arial"/>
                <w:color w:val="0F172A"/>
                <w:sz w:val="20"/>
                <w:szCs w:val="20"/>
              </w:rPr>
              <w:t xml:space="preserve">Establish a support ticket resolution SLA (target: 90% resolved within 48 hours). The current ticket resolution donut should be monitored weekly by the operations director — unresolved tickets are a leading indicator of negative reviews.</w:t>
            </w:r>
          </w:p>
        </w:tc>
      </w:tr>
      <w:tr>
        <w:tc>
          <w:tcPr>
            <w:tcW w:type="dxa" w:w="9360"/>
            <w:tcBorders>
              <w:top w:val="none" w:color="FFFFFF" w:sz="0"/>
              <w:left w:val="single" w:color="EA580C" w:sz="12"/>
              <w:bottom w:val="none" w:color="FFFFFF" w:sz="0"/>
              <w:right w:val="none" w:color="FFFFFF" w:sz="0"/>
            </w:tcBorders>
            <w:shd w:fill="FFF7ED" w:val="clear"/>
            <w:tcMar>
              <w:top w:type="dxa" w:w="80"/>
              <w:left w:type="dxa" w:w="200"/>
              <w:bottom w:type="dxa" w:w="80"/>
              <w:right w:type="dxa" w:w="200"/>
            </w:tcMar>
          </w:tcPr>
          <w:p>
            <w:pPr>
              <w:spacing w:after="40" w:before="40"/>
            </w:pPr>
            <w:r>
              <w:rPr>
                <w:rFonts w:ascii="Arial" w:cs="Arial" w:eastAsia="Arial" w:hAnsi="Arial"/>
                <w:b/>
                <w:bCs/>
                <w:color w:val="EA580C"/>
                <w:sz w:val="22"/>
                <w:szCs w:val="22"/>
              </w:rPr>
              <w:t xml:space="preserve">REC-09:  </w:t>
            </w:r>
            <w:r>
              <w:rPr>
                <w:rFonts w:ascii="Arial" w:cs="Arial" w:eastAsia="Arial" w:hAnsi="Arial"/>
                <w:color w:val="0F172A"/>
                <w:sz w:val="20"/>
                <w:szCs w:val="20"/>
              </w:rPr>
              <w:t xml:space="preserve">Use the issue-type pivot table to run quarterly operational review meetings. The top 3 issue categories should each have a named owner, root cause analysis, and corrective action plan updated monthly.</w:t>
            </w:r>
          </w:p>
        </w:tc>
      </w:tr>
    </w:tbl>
    <w:p>
      <w:pPr>
        <w:pStyle w:val="Heading2"/>
        <w:spacing w:after="120" w:before="360"/>
      </w:pPr>
      <w:r>
        <w:rPr>
          <w:rFonts w:ascii="Arial" w:cs="Arial" w:eastAsia="Arial" w:hAnsi="Arial"/>
          <w:b/>
          <w:bCs/>
          <w:color w:val="1E3A8A"/>
          <w:sz w:val="28"/>
          <w:szCs w:val="28"/>
        </w:rPr>
        <w:t xml:space="preserve">5.4 Financial &amp; Payment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A580C" w:sz="12"/>
              <w:bottom w:val="none" w:color="FFFFFF" w:sz="0"/>
              <w:right w:val="none" w:color="FFFFFF" w:sz="0"/>
            </w:tcBorders>
            <w:shd w:fill="FFF7ED" w:val="clear"/>
            <w:tcMar>
              <w:top w:type="dxa" w:w="80"/>
              <w:left w:type="dxa" w:w="200"/>
              <w:bottom w:type="dxa" w:w="80"/>
              <w:right w:type="dxa" w:w="200"/>
            </w:tcMar>
          </w:tcPr>
          <w:p>
            <w:pPr>
              <w:spacing w:after="40" w:before="40"/>
            </w:pPr>
            <w:r>
              <w:rPr>
                <w:rFonts w:ascii="Arial" w:cs="Arial" w:eastAsia="Arial" w:hAnsi="Arial"/>
                <w:b/>
                <w:bCs/>
                <w:color w:val="EA580C"/>
                <w:sz w:val="22"/>
                <w:szCs w:val="22"/>
              </w:rPr>
              <w:t xml:space="preserve">REC-10:  </w:t>
            </w:r>
            <w:r>
              <w:rPr>
                <w:rFonts w:ascii="Arial" w:cs="Arial" w:eastAsia="Arial" w:hAnsi="Arial"/>
                <w:color w:val="0F172A"/>
                <w:sz w:val="20"/>
                <w:szCs w:val="20"/>
              </w:rPr>
              <w:t xml:space="preserve">Establish an accounts receivable recovery process for all bookings with "Pending" payment status. The sum of pending payment amounts quantified in the Payment Analytics donut represents directly recoverable revenue.</w:t>
            </w:r>
          </w:p>
        </w:tc>
      </w:tr>
      <w:tr>
        <w:tc>
          <w:tcPr>
            <w:tcW w:type="dxa" w:w="9360"/>
            <w:tcBorders>
              <w:top w:val="none" w:color="FFFFFF" w:sz="0"/>
              <w:left w:val="single" w:color="EA580C" w:sz="12"/>
              <w:bottom w:val="none" w:color="FFFFFF" w:sz="0"/>
              <w:right w:val="none" w:color="FFFFFF" w:sz="0"/>
            </w:tcBorders>
            <w:shd w:fill="FFF7ED" w:val="clear"/>
            <w:tcMar>
              <w:top w:type="dxa" w:w="80"/>
              <w:left w:type="dxa" w:w="200"/>
              <w:bottom w:type="dxa" w:w="80"/>
              <w:right w:type="dxa" w:w="200"/>
            </w:tcMar>
          </w:tcPr>
          <w:p>
            <w:pPr>
              <w:spacing w:after="40" w:before="40"/>
            </w:pPr>
            <w:r>
              <w:rPr>
                <w:rFonts w:ascii="Arial" w:cs="Arial" w:eastAsia="Arial" w:hAnsi="Arial"/>
                <w:b/>
                <w:bCs/>
                <w:color w:val="EA580C"/>
                <w:sz w:val="22"/>
                <w:szCs w:val="22"/>
              </w:rPr>
              <w:t xml:space="preserve">REC-11:  </w:t>
            </w:r>
            <w:r>
              <w:rPr>
                <w:rFonts w:ascii="Arial" w:cs="Arial" w:eastAsia="Arial" w:hAnsi="Arial"/>
                <w:color w:val="0F172A"/>
                <w:sz w:val="20"/>
                <w:szCs w:val="20"/>
              </w:rPr>
              <w:t xml:space="preserve">Diversify payment method acceptance if analysis reveals over-concentration in one channel. UPI and digital wallet adoption should be tracked as an indicator of accessibility for younger customer segments.</w:t>
            </w:r>
          </w:p>
        </w:tc>
      </w:tr>
    </w:tbl>
    <w:p>
      <w:pPr>
        <w:pStyle w:val="Heading2"/>
        <w:spacing w:after="120" w:before="360"/>
      </w:pPr>
      <w:r>
        <w:rPr>
          <w:rFonts w:ascii="Arial" w:cs="Arial" w:eastAsia="Arial" w:hAnsi="Arial"/>
          <w:b/>
          <w:bCs/>
          <w:color w:val="1E3A8A"/>
          <w:sz w:val="28"/>
          <w:szCs w:val="28"/>
        </w:rPr>
        <w:t xml:space="preserve">5.5 Visa Operations &amp; Customer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A580C" w:sz="12"/>
              <w:bottom w:val="none" w:color="FFFFFF" w:sz="0"/>
              <w:right w:val="none" w:color="FFFFFF" w:sz="0"/>
            </w:tcBorders>
            <w:shd w:fill="FFF7ED" w:val="clear"/>
            <w:tcMar>
              <w:top w:type="dxa" w:w="80"/>
              <w:left w:type="dxa" w:w="200"/>
              <w:bottom w:type="dxa" w:w="80"/>
              <w:right w:type="dxa" w:w="200"/>
            </w:tcMar>
          </w:tcPr>
          <w:p>
            <w:pPr>
              <w:spacing w:after="40" w:before="40"/>
            </w:pPr>
            <w:r>
              <w:rPr>
                <w:rFonts w:ascii="Arial" w:cs="Arial" w:eastAsia="Arial" w:hAnsi="Arial"/>
                <w:b/>
                <w:bCs/>
                <w:color w:val="EA580C"/>
                <w:sz w:val="22"/>
                <w:szCs w:val="22"/>
              </w:rPr>
              <w:t xml:space="preserve">REC-12:  </w:t>
            </w:r>
            <w:r>
              <w:rPr>
                <w:rFonts w:ascii="Arial" w:cs="Arial" w:eastAsia="Arial" w:hAnsi="Arial"/>
                <w:color w:val="0F172A"/>
                <w:sz w:val="20"/>
                <w:szCs w:val="20"/>
              </w:rPr>
              <w:t xml:space="preserve">Set a minimum Visa Approval Rate target (e.g., 85%) and alert operations when the gauge falls below threshold. Proactively counsel customers on documentation requirements for high-rejection-rate countries.</w:t>
            </w:r>
          </w:p>
        </w:tc>
      </w:tr>
      <w:tr>
        <w:tc>
          <w:tcPr>
            <w:tcW w:type="dxa" w:w="9360"/>
            <w:tcBorders>
              <w:top w:val="none" w:color="FFFFFF" w:sz="0"/>
              <w:left w:val="single" w:color="EA580C" w:sz="12"/>
              <w:bottom w:val="none" w:color="FFFFFF" w:sz="0"/>
              <w:right w:val="none" w:color="FFFFFF" w:sz="0"/>
            </w:tcBorders>
            <w:shd w:fill="FFF7ED" w:val="clear"/>
            <w:tcMar>
              <w:top w:type="dxa" w:w="80"/>
              <w:left w:type="dxa" w:w="200"/>
              <w:bottom w:type="dxa" w:w="80"/>
              <w:right w:type="dxa" w:w="200"/>
            </w:tcMar>
          </w:tcPr>
          <w:p>
            <w:pPr>
              <w:spacing w:after="40" w:before="40"/>
            </w:pPr>
            <w:r>
              <w:rPr>
                <w:rFonts w:ascii="Arial" w:cs="Arial" w:eastAsia="Arial" w:hAnsi="Arial"/>
                <w:b/>
                <w:bCs/>
                <w:color w:val="EA580C"/>
                <w:sz w:val="22"/>
                <w:szCs w:val="22"/>
              </w:rPr>
              <w:t xml:space="preserve">REC-13:  </w:t>
            </w:r>
            <w:r>
              <w:rPr>
                <w:rFonts w:ascii="Arial" w:cs="Arial" w:eastAsia="Arial" w:hAnsi="Arial"/>
                <w:color w:val="0F172A"/>
                <w:sz w:val="20"/>
                <w:szCs w:val="20"/>
              </w:rPr>
              <w:t xml:space="preserve">Introduce a post-travel review solicitation workflow triggered 3 days after trip return. Increasing review volume improves the statistical reliability of satisfaction scores and enables more granular package-level quality monitoring.</w:t>
            </w:r>
          </w:p>
        </w:tc>
      </w:tr>
      <w:tr>
        <w:tc>
          <w:tcPr>
            <w:tcW w:type="dxa" w:w="9360"/>
            <w:tcBorders>
              <w:top w:val="none" w:color="FFFFFF" w:sz="0"/>
              <w:left w:val="single" w:color="EA580C" w:sz="12"/>
              <w:bottom w:val="none" w:color="FFFFFF" w:sz="0"/>
              <w:right w:val="none" w:color="FFFFFF" w:sz="0"/>
            </w:tcBorders>
            <w:shd w:fill="FFF7ED" w:val="clear"/>
            <w:tcMar>
              <w:top w:type="dxa" w:w="80"/>
              <w:left w:type="dxa" w:w="200"/>
              <w:bottom w:type="dxa" w:w="80"/>
              <w:right w:type="dxa" w:w="200"/>
            </w:tcMar>
          </w:tcPr>
          <w:p>
            <w:pPr>
              <w:spacing w:after="40" w:before="40"/>
            </w:pPr>
            <w:r>
              <w:rPr>
                <w:rFonts w:ascii="Arial" w:cs="Arial" w:eastAsia="Arial" w:hAnsi="Arial"/>
                <w:b/>
                <w:bCs/>
                <w:color w:val="EA580C"/>
                <w:sz w:val="22"/>
                <w:szCs w:val="22"/>
              </w:rPr>
              <w:t xml:space="preserve">REC-14:  </w:t>
            </w:r>
            <w:r>
              <w:rPr>
                <w:rFonts w:ascii="Arial" w:cs="Arial" w:eastAsia="Arial" w:hAnsi="Arial"/>
                <w:color w:val="0F172A"/>
                <w:sz w:val="20"/>
                <w:szCs w:val="20"/>
              </w:rPr>
              <w:t xml:space="preserve">Cross-reference low satisfaction package ratings with support ticket volumes for those packages. Packages appearing in both "low rating" and "high ticket volume" lists should be subject to immediate quality review and potential product redesign.</w:t>
            </w:r>
          </w:p>
        </w:tc>
      </w:tr>
    </w:tbl>
    <w:p>
      <w:pPr>
        <w:pBdr>
          <w:bottom w:val="single" w:color="CBD5E1" w:sz="4" w:space="1"/>
        </w:pBdr>
        <w:spacing w:after="120" w:before="120"/>
      </w:pPr>
      <w:r>
        <w:rPr>
          <w:rFonts w:ascii="Arial" w:cs="Arial" w:eastAsia="Arial" w:hAnsi="Arial"/>
        </w:rPr>
        <w:t xml:space="preserve"/>
      </w:r>
    </w:p>
    <w:p>
      <w:pPr>
        <w:pStyle w:val="Heading1"/>
        <w:pBdr>
          <w:bottom w:val="single" w:color="2563EB" w:sz="8" w:space="4"/>
        </w:pBdr>
        <w:spacing w:after="160" w:before="480"/>
      </w:pPr>
      <w:r>
        <w:rPr>
          <w:rFonts w:ascii="Arial" w:cs="Arial" w:eastAsia="Arial" w:hAnsi="Arial"/>
          <w:b/>
          <w:bCs/>
          <w:color w:val="1B2A4A"/>
          <w:sz w:val="36"/>
          <w:szCs w:val="36"/>
        </w:rPr>
        <w:t xml:space="preserve">6. Data Governance &amp; Quality Considerations</w:t>
      </w:r>
    </w:p>
    <w:p>
      <w:pPr>
        <w:spacing w:after="100" w:before="60"/>
      </w:pPr>
      <w:r>
        <w:rPr>
          <w:rFonts w:ascii="Arial" w:cs="Arial" w:eastAsia="Arial" w:hAnsi="Arial"/>
          <w:color w:val="0F172A"/>
          <w:sz w:val="22"/>
          <w:szCs w:val="22"/>
        </w:rPr>
        <w:t xml:space="preserve">The analytical value of any Power BI dashboard is only as strong as the quality and governance of the underlying data. The following considerations apply to the Travel Agency Analytics Dashboard:</w:t>
      </w:r>
    </w:p>
    <w:p>
      <w:pPr>
        <w:pStyle w:val="Heading2"/>
        <w:spacing w:after="120" w:before="360"/>
      </w:pPr>
      <w:r>
        <w:rPr>
          <w:rFonts w:ascii="Arial" w:cs="Arial" w:eastAsia="Arial" w:hAnsi="Arial"/>
          <w:b/>
          <w:bCs/>
          <w:color w:val="1E3A8A"/>
          <w:sz w:val="28"/>
          <w:szCs w:val="28"/>
        </w:rPr>
        <w:t xml:space="preserve">6.1 Data Quality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Completeness</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Verify that all bookings have corresponding customer, package, payment, and visa records. Orphaned booking records will produce incorrect KPI values.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Accuracy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Validate tOTALREVENUE against source financial system totals on a monthly basis. Any discrepancy greater than 0.1% should trigger reconciliation.</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Timeliness</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Define the refresh frequency for each table. bookings and payments should refresh daily; customers and packages can refresh weekly.</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Consistency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Ensure cancellation status codes are standardised across the source system (e.g., "Cancelled" vs "CANCELLED" vs "C" will produce incorrect donut chart segments).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Field Naming</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Standardise measure naming conventions. The current model contains inconsistencies (e.g., "CONFIRED_BOOKINGS" — likely a typo for "CONFIRMED_BOOKINGS") that should be corrected.</w:t>
            </w:r>
          </w:p>
        </w:tc>
      </w:tr>
    </w:tbl>
    <w:p>
      <w:pPr>
        <w:pStyle w:val="Heading2"/>
        <w:spacing w:after="120" w:before="360"/>
      </w:pPr>
      <w:r>
        <w:rPr>
          <w:rFonts w:ascii="Arial" w:cs="Arial" w:eastAsia="Arial" w:hAnsi="Arial"/>
          <w:b/>
          <w:bCs/>
          <w:color w:val="1E3A8A"/>
          <w:sz w:val="28"/>
          <w:szCs w:val="28"/>
        </w:rPr>
        <w:t xml:space="preserve">6.2 Row-Level Security (RLS) Recommendation</w:t>
      </w:r>
    </w:p>
    <w:p>
      <w:pPr>
        <w:spacing w:after="100" w:before="60"/>
      </w:pPr>
      <w:r>
        <w:rPr>
          <w:rFonts w:ascii="Arial" w:cs="Arial" w:eastAsia="Arial" w:hAnsi="Arial"/>
          <w:color w:val="0F172A"/>
          <w:sz w:val="22"/>
          <w:szCs w:val="22"/>
        </w:rPr>
        <w:t xml:space="preserve">For an MNC deployment, it is recommended to implement Row-Level Security (RLS) in the Power BI service to ensure that regional managers only see data pertaining to their assigned geographies, and that sales agents can only view their own customer records. This is a mandatory requirement for GDPR and data privacy compliance in multi-user enterprise deployments.</w:t>
      </w:r>
    </w:p>
    <w:p>
      <w:pPr>
        <w:pStyle w:val="Heading2"/>
        <w:spacing w:after="120" w:before="360"/>
      </w:pPr>
      <w:r>
        <w:rPr>
          <w:rFonts w:ascii="Arial" w:cs="Arial" w:eastAsia="Arial" w:hAnsi="Arial"/>
          <w:b/>
          <w:bCs/>
          <w:color w:val="1E3A8A"/>
          <w:sz w:val="28"/>
          <w:szCs w:val="28"/>
        </w:rPr>
        <w:t xml:space="preserve">6.3 Scheduled Refresh &amp; Monitoring</w:t>
      </w:r>
    </w:p>
    <w:p>
      <w:pPr>
        <w:pStyle w:val="ListParagraph"/>
        <w:numPr>
          <w:ilvl w:val="0"/>
          <w:numId w:val="2"/>
        </w:numPr>
        <w:spacing w:after="40" w:before="40"/>
      </w:pPr>
      <w:r>
        <w:rPr>
          <w:rFonts w:ascii="Arial" w:cs="Arial" w:eastAsia="Arial" w:hAnsi="Arial"/>
          <w:color w:val="0F172A"/>
          <w:sz w:val="22"/>
          <w:szCs w:val="22"/>
        </w:rPr>
        <w:t xml:space="preserve">Configure Power BI Premium or Pro scheduled data refresh at a minimum of once daily for all transactional tables.</w:t>
      </w:r>
    </w:p>
    <w:p>
      <w:pPr>
        <w:pStyle w:val="ListParagraph"/>
        <w:numPr>
          <w:ilvl w:val="0"/>
          <w:numId w:val="2"/>
        </w:numPr>
        <w:spacing w:after="40" w:before="40"/>
      </w:pPr>
      <w:r>
        <w:rPr>
          <w:rFonts w:ascii="Arial" w:cs="Arial" w:eastAsia="Arial" w:hAnsi="Arial"/>
          <w:color w:val="0F172A"/>
          <w:sz w:val="22"/>
          <w:szCs w:val="22"/>
        </w:rPr>
        <w:t xml:space="preserve">Set up refresh failure alerts to notify the data engineering team within 15 minutes of any refresh failure.</w:t>
      </w:r>
    </w:p>
    <w:p>
      <w:pPr>
        <w:pStyle w:val="ListParagraph"/>
        <w:numPr>
          <w:ilvl w:val="0"/>
          <w:numId w:val="2"/>
        </w:numPr>
        <w:spacing w:after="40" w:before="40"/>
      </w:pPr>
      <w:r>
        <w:rPr>
          <w:rFonts w:ascii="Arial" w:cs="Arial" w:eastAsia="Arial" w:hAnsi="Arial"/>
          <w:color w:val="0F172A"/>
          <w:sz w:val="22"/>
          <w:szCs w:val="22"/>
        </w:rPr>
        <w:t xml:space="preserve">Implement data freshness indicators on the Executive Summary page to communicate the "as-of" timestamp of all data to end users.</w:t>
      </w:r>
    </w:p>
    <w:p>
      <w:pPr>
        <w:pBdr>
          <w:bottom w:val="single" w:color="CBD5E1" w:sz="4" w:space="1"/>
        </w:pBdr>
        <w:spacing w:after="120" w:before="120"/>
      </w:pPr>
      <w:r>
        <w:rPr>
          <w:rFonts w:ascii="Arial" w:cs="Arial" w:eastAsia="Arial" w:hAnsi="Arial"/>
        </w:rPr>
        <w:t xml:space="preserve"/>
      </w:r>
    </w:p>
    <w:p>
      <w:pPr>
        <w:pStyle w:val="Heading1"/>
        <w:pBdr>
          <w:bottom w:val="single" w:color="2563EB" w:sz="8" w:space="4"/>
        </w:pBdr>
        <w:spacing w:after="160" w:before="480"/>
      </w:pPr>
      <w:r>
        <w:rPr>
          <w:rFonts w:ascii="Arial" w:cs="Arial" w:eastAsia="Arial" w:hAnsi="Arial"/>
          <w:b/>
          <w:bCs/>
          <w:color w:val="1B2A4A"/>
          <w:sz w:val="36"/>
          <w:szCs w:val="36"/>
        </w:rPr>
        <w:t xml:space="preserve">7. Conclusion</w:t>
      </w:r>
    </w:p>
    <w:p>
      <w:pPr>
        <w:spacing w:after="100" w:before="60"/>
      </w:pPr>
      <w:r>
        <w:rPr>
          <w:rFonts w:ascii="Arial" w:cs="Arial" w:eastAsia="Arial" w:hAnsi="Arial"/>
          <w:color w:val="0F172A"/>
          <w:sz w:val="22"/>
          <w:szCs w:val="22"/>
        </w:rPr>
        <w:t xml:space="preserve">The Travel Agency Analytics Dashboard represents a comprehensive, well-structured Power BI solution that covers the full analytical scope of a travel business — from commercial performance and customer intelligence, through operational efficiency and financial health, to visa processing and customer satisfaction management.</w:t>
      </w:r>
    </w:p>
    <w:p>
      <w:pPr>
        <w:spacing w:after="100" w:before="60"/>
      </w:pPr>
      <w:r>
        <w:rPr>
          <w:rFonts w:ascii="Arial" w:cs="Arial" w:eastAsia="Arial" w:hAnsi="Arial"/>
          <w:color w:val="0F172A"/>
          <w:sz w:val="22"/>
          <w:szCs w:val="22"/>
        </w:rPr>
        <w:t xml:space="preserve">The eight-page structure demonstrates a mature analytical approach, ensuring that each stakeholder group (executive leadership, sales, customer experience, finance, operations, and visa teams) has a dedicated, purpose-built analytical view aligned to their decision-making context.</w:t>
      </w:r>
    </w:p>
    <w:p>
      <w:pPr>
        <w:spacing w:after="100" w:before="60"/>
      </w:pPr>
      <w:r>
        <w:rPr>
          <w:rFonts w:ascii="Arial" w:cs="Arial" w:eastAsia="Arial" w:hAnsi="Arial"/>
          <w:color w:val="0F172A"/>
          <w:sz w:val="22"/>
          <w:szCs w:val="22"/>
        </w:rPr>
        <w:t xml:space="preserve">The data model's multi-table relational design — spanning bookings, customers, packages, flights, hotels, transportation, payments, visa applications, reviews, and support tickets — provides the analytical depth required for genuine business intelligence rather than simple operational reporting.</w:t>
      </w:r>
    </w:p>
    <w:p>
      <w:pPr>
        <w:spacing w:after="100" w:before="60"/>
      </w:pPr>
      <w:r>
        <w:rPr>
          <w:rFonts w:ascii="Arial" w:cs="Arial" w:eastAsia="Arial" w:hAnsi="Arial"/>
          <w:color w:val="0F172A"/>
          <w:sz w:val="22"/>
          <w:szCs w:val="22"/>
        </w:rPr>
        <w:t xml:space="preserve">The strategic recommendations outlined in Section 5 of this report provide a prioritised, actionable roadmap for translating dashboard insights into commercial outcomes. The single most important near-term priorities are:</w:t>
      </w:r>
    </w:p>
    <w:p>
      <w:pPr>
        <w:pStyle w:val="ListParagraph"/>
        <w:numPr>
          <w:ilvl w:val="0"/>
          <w:numId w:val="2"/>
        </w:numPr>
        <w:spacing w:after="40" w:before="40"/>
      </w:pPr>
      <w:r>
        <w:rPr>
          <w:rFonts w:ascii="Arial" w:cs="Arial" w:eastAsia="Arial" w:hAnsi="Arial"/>
          <w:color w:val="0F172A"/>
          <w:sz w:val="22"/>
          <w:szCs w:val="22"/>
        </w:rPr>
        <w:t xml:space="preserve">Revenue protection: Identify and protect top-performing packages and customer accounts.</w:t>
      </w:r>
    </w:p>
    <w:p>
      <w:pPr>
        <w:pStyle w:val="ListParagraph"/>
        <w:numPr>
          <w:ilvl w:val="0"/>
          <w:numId w:val="2"/>
        </w:numPr>
        <w:spacing w:after="40" w:before="40"/>
      </w:pPr>
      <w:r>
        <w:rPr>
          <w:rFonts w:ascii="Arial" w:cs="Arial" w:eastAsia="Arial" w:hAnsi="Arial"/>
          <w:color w:val="0F172A"/>
          <w:sz w:val="22"/>
          <w:szCs w:val="22"/>
        </w:rPr>
        <w:t xml:space="preserve">Cancellation reduction: Investigate and address root causes of high cancellation rates.</w:t>
      </w:r>
    </w:p>
    <w:p>
      <w:pPr>
        <w:pStyle w:val="ListParagraph"/>
        <w:numPr>
          <w:ilvl w:val="0"/>
          <w:numId w:val="2"/>
        </w:numPr>
        <w:spacing w:after="40" w:before="40"/>
      </w:pPr>
      <w:r>
        <w:rPr>
          <w:rFonts w:ascii="Arial" w:cs="Arial" w:eastAsia="Arial" w:hAnsi="Arial"/>
          <w:color w:val="0F172A"/>
          <w:sz w:val="22"/>
          <w:szCs w:val="22"/>
        </w:rPr>
        <w:t xml:space="preserve">Payment recovery: Quantify and action pending/failed payment receivables.</w:t>
      </w:r>
    </w:p>
    <w:p>
      <w:pPr>
        <w:pStyle w:val="ListParagraph"/>
        <w:numPr>
          <w:ilvl w:val="0"/>
          <w:numId w:val="2"/>
        </w:numPr>
        <w:spacing w:after="40" w:before="40"/>
      </w:pPr>
      <w:r>
        <w:rPr>
          <w:rFonts w:ascii="Arial" w:cs="Arial" w:eastAsia="Arial" w:hAnsi="Arial"/>
          <w:color w:val="0F172A"/>
          <w:sz w:val="22"/>
          <w:szCs w:val="22"/>
        </w:rPr>
        <w:t xml:space="preserve">Support efficiency: Resolve the support ticket backlog and implement resolution SLAs.</w:t>
      </w:r>
    </w:p>
    <w:p>
      <w:pPr>
        <w:pStyle w:val="ListParagraph"/>
        <w:numPr>
          <w:ilvl w:val="0"/>
          <w:numId w:val="2"/>
        </w:numPr>
        <w:spacing w:after="40" w:before="40"/>
      </w:pPr>
      <w:r>
        <w:rPr>
          <w:rFonts w:ascii="Arial" w:cs="Arial" w:eastAsia="Arial" w:hAnsi="Arial"/>
          <w:color w:val="0F172A"/>
          <w:sz w:val="22"/>
          <w:szCs w:val="22"/>
        </w:rPr>
        <w:t xml:space="preserve">Dashboard enhancement: Add date-range slicers and conditional formatting to unlock time-series comparison and threshold-based performance alerting.</w:t>
      </w:r>
    </w:p>
    <w:p>
      <w:pPr>
        <w:spacing w:after="100" w:before="60"/>
      </w:pPr>
      <w:r>
        <w:rPr>
          <w:rFonts w:ascii="Arial" w:cs="Arial" w:eastAsia="Arial" w:hAnsi="Arial"/>
          <w:color w:val="0F172A"/>
          <w:sz w:val="22"/>
          <w:szCs w:val="22"/>
        </w:rPr>
        <w:t xml:space="preserve">When fully leveraged, this dashboard has the potential to drive significant revenue improvement, cost optimisation, and customer experience enhancement — making it a valuable strategic asset for the organisation's data-driven decision-making capability.</w:t>
      </w:r>
    </w:p>
    <w:p>
      <w:pPr>
        <w:pBdr>
          <w:bottom w:val="single" w:color="CBD5E1" w:sz="4" w:space="1"/>
        </w:pBdr>
        <w:spacing w:after="120" w:before="120"/>
      </w:pPr>
      <w:r>
        <w:rPr>
          <w:rFonts w:ascii="Arial" w:cs="Arial" w:eastAsia="Arial" w:hAnsi="Arial"/>
        </w:rPr>
        <w:t xml:space="preserve"/>
      </w:r>
    </w:p>
    <w:p>
      <w:pPr>
        <w:pStyle w:val="Heading1"/>
        <w:pBdr>
          <w:bottom w:val="single" w:color="2563EB" w:sz="8" w:space="4"/>
        </w:pBdr>
        <w:spacing w:after="160" w:before="480"/>
      </w:pPr>
      <w:r>
        <w:rPr>
          <w:rFonts w:ascii="Arial" w:cs="Arial" w:eastAsia="Arial" w:hAnsi="Arial"/>
          <w:b/>
          <w:bCs/>
          <w:color w:val="1B2A4A"/>
          <w:sz w:val="36"/>
          <w:szCs w:val="36"/>
        </w:rPr>
        <w:t xml:space="preserve">8. Appendix</w:t>
      </w:r>
    </w:p>
    <w:p>
      <w:pPr>
        <w:pStyle w:val="Heading2"/>
        <w:spacing w:after="120" w:before="360"/>
      </w:pPr>
      <w:r>
        <w:rPr>
          <w:rFonts w:ascii="Arial" w:cs="Arial" w:eastAsia="Arial" w:hAnsi="Arial"/>
          <w:b/>
          <w:bCs/>
          <w:color w:val="1E3A8A"/>
          <w:sz w:val="28"/>
          <w:szCs w:val="28"/>
        </w:rPr>
        <w:t xml:space="preserve">8.1 Visual Type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Card Visual</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Displays a single scalar KPI value with optional label and image. Used for headline metrics.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Clustered Bar/Column Chart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Compares categorical values side-by-side. Bar = horizontal, Column = vertical orientation.</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Line Chart</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Shows trends over continuous or date-based dimensions. Ideal for time-series analysis.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Donut Chart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Part-to-whole proportion display. Suitable for 3-5 segment distributions.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Treemap</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Hierarchical area chart where rectangle size encodes magnitude. Excellent for revenue concentration.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Waterfall Chart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Shows cumulative effect of sequential positive/negative values. Used for contribution analysis.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Filled Map</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Geographic choropleth map coloring regions by metric value. Used for spatial distribution.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Gauge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Radial dial displaying a value against a target range. Used for KPI target tracking.</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100% Stacked Bar/Column</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Shows composition as percentage of total across categories. Used for proportional breakdowns.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Pivot Table (Matrix)</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Cross-tabulation of rows, columns, and values. Used for multi-dimensional data grids.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Slicer</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Interactive filter control that cross-filters all visuals on a page when a selection is made.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Action Button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Navigation element that redirects to another page, bookmark, or URL when clicked.</w:t>
            </w:r>
          </w:p>
        </w:tc>
      </w:tr>
    </w:tbl>
    <w:p>
      <w:pPr>
        <w:pStyle w:val="Heading2"/>
        <w:spacing w:after="120" w:before="360"/>
      </w:pPr>
      <w:r>
        <w:rPr>
          <w:rFonts w:ascii="Arial" w:cs="Arial" w:eastAsia="Arial" w:hAnsi="Arial"/>
          <w:b/>
          <w:bCs/>
          <w:color w:val="1E3A8A"/>
          <w:sz w:val="28"/>
          <w:szCs w:val="28"/>
        </w:rPr>
        <w:t xml:space="preserve">8.2 Acronym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ABV</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Average Booking Value — total revenue divided by total booking count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BI</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Business Intelligence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CLV</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Customer Lifetime Value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CX</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Customer Experience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KPI</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Key Performance Indicator</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MNC</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Multinational Corporation</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RLS</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Row-Level Security</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SLA</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Service Level Agreement</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UPI</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Unified Payments Interface (Indian digital payment system)</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YoY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Year-over-Year</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QoQ</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Quarter-over-Quarter</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MoM</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Month-over-Month</w:t>
            </w:r>
          </w:p>
        </w:tc>
      </w:tr>
    </w:tbl>
    <w:p>
      <w:pPr>
        <w:pStyle w:val="Heading2"/>
        <w:spacing w:after="120" w:before="360"/>
      </w:pPr>
      <w:r>
        <w:rPr>
          <w:rFonts w:ascii="Arial" w:cs="Arial" w:eastAsia="Arial" w:hAnsi="Arial"/>
          <w:b/>
          <w:bCs/>
          <w:color w:val="1E3A8A"/>
          <w:sz w:val="28"/>
          <w:szCs w:val="28"/>
        </w:rPr>
        <w:t xml:space="preserve">8.3 Dashboard File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File Name</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TravelAgencyAnalyticsDashboard.pbix</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File Size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~461 KB (compressed)</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Tool</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Microsoft Power BI Desktop</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Theme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CY26SU05 (June 2026 standard theme)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Pages</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8 report pages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Total Visuals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53 visual containers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2A4A"/>
                <w:sz w:val="20"/>
                <w:szCs w:val="20"/>
              </w:rPr>
              <w:t xml:space="preserve">Images</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20"/>
                <w:szCs w:val="20"/>
              </w:rPr>
              <w:t xml:space="preserve">7 registered icon/image resources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Data Tables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10 core tables (bookings, customers, travel_packages, flights, hotels, transportation, payments, visa_applications, reviews, support_tickets)</w:t>
            </w:r>
          </w:p>
        </w:tc>
      </w:tr>
    </w:tbl>
    <w:p>
      <w:pPr>
        <w:spacing w:after="0" w:before="400"/>
      </w:pPr>
      <w:r>
        <w:rPr>
          <w:rFonts w:ascii="Arial" w:cs="Arial" w:eastAsia="Arial" w:hAnsi="Arial"/>
        </w:rPr>
        <w:t xml:space="preserve"/>
      </w:r>
    </w:p>
    <w:p>
      <w:pPr>
        <w:spacing w:after="200" w:before="400"/>
        <w:jc w:val="center"/>
      </w:pPr>
      <w:r>
        <w:rPr>
          <w:rFonts w:ascii="Arial" w:cs="Arial" w:eastAsia="Arial" w:hAnsi="Arial"/>
          <w:i/>
          <w:iCs/>
          <w:color w:val="64748B"/>
          <w:sz w:val="22"/>
          <w:szCs w:val="22"/>
        </w:rPr>
        <w:t xml:space="preserve">— End of Report —</w:t>
      </w:r>
    </w:p>
    <w:p>
      <w:pPr>
        <w:jc w:val="center"/>
      </w:pPr>
      <w:r>
        <w:rPr>
          <w:rFonts w:ascii="Arial" w:cs="Arial" w:eastAsia="Arial" w:hAnsi="Arial"/>
          <w:color w:val="64748B"/>
          <w:sz w:val="18"/>
          <w:szCs w:val="18"/>
        </w:rPr>
        <w:t xml:space="preserve">Prepared by the Business Intelligence Unit  |  June 2026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2"/>
      </w:pBdr>
      <w:tabs>
        <w:tab w:val="right" w:pos="9026"/>
      </w:tabs>
      <w:spacing w:before="80"/>
    </w:pPr>
    <w:r>
      <w:rPr>
        <w:rFonts w:ascii="Arial" w:cs="Arial" w:eastAsia="Arial" w:hAnsi="Arial"/>
        <w:color w:val="64748B"/>
        <w:sz w:val="16"/>
        <w:szCs w:val="16"/>
      </w:rPr>
      <w:t xml:space="preserve">Business Intelligence Unit  |  June 2026</w:t>
    </w:r>
    <w:r>
      <w:rPr>
        <w:rFonts w:ascii="Arial" w:cs="Arial" w:eastAsia="Arial" w:hAnsi="Arial"/>
        <w:color w:val="64748B"/>
        <w:sz w:val="16"/>
        <w:szCs w:val="16"/>
      </w:rPr>
      <w:t xml:space="preserve">	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of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2"/>
      </w:pBdr>
      <w:tabs>
        <w:tab w:val="right" w:pos="9026"/>
      </w:tabs>
      <w:spacing w:after="80"/>
    </w:pPr>
    <w:r>
      <w:rPr>
        <w:rFonts w:ascii="Arial" w:cs="Arial" w:eastAsia="Arial" w:hAnsi="Arial"/>
        <w:color w:val="64748B"/>
        <w:sz w:val="18"/>
        <w:szCs w:val="18"/>
      </w:rPr>
      <w:t xml:space="preserve">Travel Agency Analytics Dashboard — Analytical Report</w:t>
    </w:r>
    <w:r>
      <w:rPr>
        <w:rFonts w:ascii="Arial" w:cs="Arial" w:eastAsia="Arial" w:hAnsi="Arial"/>
        <w:sz w:val="18"/>
        <w:szCs w:val="18"/>
      </w:rPr>
      <w:t xml:space="preserve">	</w:t>
    </w:r>
    <w:r>
      <w:rPr>
        <w:rFonts w:ascii="Arial" w:cs="Arial" w:eastAsia="Arial" w:hAnsi="Arial"/>
        <w:b/>
        <w:bCs/>
        <w:color w:val="EA580C"/>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1E3A8A"/>
      <w:sz w:val="28"/>
      <w:szCs w:val="28"/>
    </w:rPr>
  </w:style>
  <w:style w:type="paragraph" w:styleId="Heading3">
    <w:name w:val="Heading 3"/>
    <w:basedOn w:val="Normal"/>
    <w:next w:val="Normal"/>
    <w:qFormat/>
    <w:pPr>
      <w:spacing w:after="80" w:before="24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2026-06-22T08:42:41.873Z</dcterms:created>
  <dcterms:modified xsi:type="dcterms:W3CDTF">2026-06-22T08:42:41.874Z</dcterms:modified>
</cp:coreProperties>
</file>

<file path=docProps/custom.xml><?xml version="1.0" encoding="utf-8"?>
<Properties xmlns="http://schemas.openxmlformats.org/officeDocument/2006/custom-properties" xmlns:vt="http://schemas.openxmlformats.org/officeDocument/2006/docPropsVTypes"/>
</file>