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spacing w:after="0"/><w:jc w:val="center"/></w:pPr><w:r><w:rPr><w:rFonts w:ascii="Calibri" w:hAnsi="Calibri"/><w:b/><w:i w:val="0"/><w:color w:val="1F3A5F"/><w:sz w:val="32"/></w:rPr><w:t>Berkeley Health System — Internal Medicine Associates</w:t></w:r></w:p><w:p><w:pPr><w:spacing w:after="0"/><w:jc w:val="center"/></w:pPr><w:r><w:rPr><w:rFonts w:ascii="Calibri" w:hAnsi="Calibri"/><w:b w:val="0"/><w:i w:val="0"/><w:sz w:val="20"/></w:rPr><w:t>2001 Dwight Way, Suite 300, Berkeley, CA 94704</w:t></w:r></w:p><w:p><w:pPr><w:spacing w:after="240"/><w:jc w:val="center"/></w:pPr><w:r><w:rPr><w:rFonts w:ascii="Calibri" w:hAnsi="Calibri"/><w:b w:val="0"/><w:i w:val="0"/><w:sz w:val="20"/></w:rPr><w:t>Phone: (510) 555-0100    Fax: (510) 555-0101</w:t></w:r></w:p><w:p><w:pPr><w:spacing w:after="240"/></w:pPr><w:r><w:rPr><w:rFonts w:ascii="Calibri" w:hAnsi="Calibri"/><w:b w:val="0"/><w:i w:val="0"/><w:sz w:val="22"/></w:rPr><w:t>May 6, 2026</w:t></w:r></w:p><w:p><w:pPr><w:spacing w:after="0"/></w:pPr><w:r><w:rPr><w:rFonts w:ascii="Calibri" w:hAnsi="Calibri"/><w:b w:val="0"/><w:i w:val="0"/><w:sz w:val="22"/></w:rPr><w:t>Jonathan Liu, MD, FACC</w:t></w:r></w:p><w:p><w:pPr><w:spacing w:after="0"/></w:pPr><w:r><w:rPr><w:rFonts w:ascii="Calibri" w:hAnsi="Calibri"/><w:b w:val="0"/><w:i w:val="0"/><w:sz w:val="22"/></w:rPr><w:t>Bay Area Cardiovascular Consultants</w:t></w:r></w:p><w:p><w:pPr><w:spacing w:after="0"/></w:pPr><w:r><w:rPr><w:rFonts w:ascii="Calibri" w:hAnsi="Calibri"/><w:b w:val="0"/><w:i w:val="0"/><w:sz w:val="22"/></w:rPr><w:t>3000 Colby Street, Suite 220, Berkeley, CA 94705</w:t></w:r></w:p><w:p><w:pPr><w:spacing w:after="0"/></w:pPr><w:r><w:rPr><w:rFonts w:ascii="Calibri" w:hAnsi="Calibri"/><w:b w:val="0"/><w:i w:val="0"/><w:sz w:val="22"/></w:rPr><w:t>Phone: (510) 555-0210    Fax: (510) 555-0211</w:t></w:r></w:p><w:p><w:pPr><w:spacing w:after="240"/></w:pPr><w:r><w:rPr><w:rFonts w:ascii="Calibri" w:hAnsi="Calibri"/><w:b w:val="0"/><w:i w:val="0"/><w:sz w:val="22"/></w:rPr><w:t>NPI: 1748392758</w:t></w:r></w:p><w:p><w:pPr><w:spacing w:after="240"/></w:pPr><w:r><w:rPr><w:rFonts w:ascii="Calibri" w:hAnsi="Calibri"/><w:b/><w:i w:val="0"/><w:sz w:val="22"/></w:rPr><w:t>RE: Margaret Chen | DOB: 03/12/1968 | MRN: BHS-2847163</w:t></w:r></w:p><w:p><w:pPr><w:spacing w:after="200"/></w:pPr><w:r><w:rPr><w:rFonts w:ascii="Calibri" w:hAnsi="Calibri"/><w:b w:val="0"/><w:i w:val="0"/><w:sz w:val="22"/></w:rPr><w:t>Dear Dr. Liu:</w:t></w:r></w:p><w:p><w:pPr><w:spacing w:after="120"/></w:pPr><w:r><w:rPr><w:rFonts w:ascii="Calibri" w:hAnsi="Calibri"/><w:b/><w:i w:val="0"/><w:sz w:val="22"/></w:rPr><w:t xml:space="preserve">Reason for Referral: </w:t></w:r><w:r><w:rPr><w:rFonts w:ascii="Calibri" w:hAnsi="Calibri"/><w:b w:val="0"/><w:i w:val="0"/><w:sz w:val="22"/></w:rPr><w:t>I am referring Ms. Chen for evaluation and co-management of statin-refractory hyperlipidemia and assessment of her ASCVD risk for consideration of intensified lipid-lowering therapy.</w:t></w:r></w:p><w:p><w:pPr><w:spacing w:after="120"/></w:pPr><w:r><w:rPr><w:rFonts w:ascii="Calibri" w:hAnsi="Calibri"/><w:b/><w:i w:val="0"/><w:sz w:val="22"/></w:rPr><w:t xml:space="preserve">History of Present Illness: </w:t></w:r><w:r><w:rPr><w:rFonts w:ascii="Calibri" w:hAnsi="Calibri"/><w:b w:val="0"/><w:i w:val="0"/><w:sz w:val="22"/></w:rPr><w:t>Ms. Chen is a 58-year-old Asian woman with a history of hyperlipidemia, hypertension, and type 2 diabetes mellitus, who presents for follow-up of her lipid management. She has been adherent to atorvastatin 40 mg daily for the past 14 months without reported myalgia or transaminitis. Repeat fasting lipid panel on 04/12/2026 demonstrated persistent elevation of LDL-C at 142 mg/dL, well above her secondary-prevention goal of &lt;70 mg/dL given her diabetes and 10-year ASCVD risk. Blood pressure is well-controlled on lisinopril 20 mg daily and she takes aspirin 81 mg daily for primary prevention.</w:t></w:r></w:p><w:p><w:pPr><w:spacing w:after="40"/></w:pPr><w:r><w:rPr><w:rFonts w:ascii="Calibri" w:hAnsi="Calibri"/><w:b/><w:i w:val="0"/><w:sz w:val="22"/></w:rPr><w:t>Past Medical History:</w:t></w:r></w:p><w:p><w:pPr><w:pStyle w:val="ListBullet"/><w:spacing w:after="40"/></w:pPr><w:r><w:rPr><w:rFonts w:ascii="Calibri" w:hAnsi="Calibri"/><w:b w:val="0"/><w:i w:val="0"/><w:sz w:val="22"/></w:rPr><w:t>Hyperli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