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A5F"/>
          <w:sz w:val="32"/>
        </w:rPr>
        <w:t>New Mexico Medical Group — Family Medicine</w:t>
      </w:r>
    </w:p>
    <w:p>
      <w:pPr>
        <w:spacing w:after="0"/>
        <w:jc w:val="center"/>
      </w:pPr>
      <w:r>
        <w:rPr>
          <w:rFonts w:ascii="Calibri" w:hAnsi="Calibri"/>
          <w:b w:val="0"/>
          <w:i w:val="0"/>
          <w:sz w:val="20"/>
        </w:rPr>
        <w:t>5400 Gibson Blvd SE, Albuquerque, NM 87108</w:t>
      </w:r>
    </w:p>
    <w:p>
      <w:pPr>
        <w:spacing w:after="240"/>
        <w:jc w:val="center"/>
      </w:pPr>
      <w:r>
        <w:rPr>
          <w:rFonts w:ascii="Calibri" w:hAnsi="Calibri"/>
          <w:b w:val="0"/>
          <w:i w:val="0"/>
          <w:sz w:val="20"/>
        </w:rPr>
        <w:t>Phone: (505) 555-0150    Fax: (505) 555-0151</w:t>
      </w:r>
    </w:p>
    <w:p>
      <w:pPr>
        <w:spacing w:after="240"/>
      </w:pPr>
      <w:r>
        <w:rPr>
          <w:rFonts w:ascii="Calibri" w:hAnsi="Calibri"/>
          <w:b w:val="0"/>
          <w:i w:val="0"/>
          <w:sz w:val="22"/>
        </w:rPr>
        <w:t>May 6, 2026</w:t>
      </w:r>
    </w:p>
    <w:p>
      <w:pPr>
        <w:spacing w:after="0"/>
      </w:pPr>
      <w:r>
        <w:rPr>
          <w:rFonts w:ascii="Calibri" w:hAnsi="Calibri"/>
          <w:b w:val="0"/>
          <w:i w:val="0"/>
          <w:sz w:val="22"/>
        </w:rPr>
        <w:t>Priya Subramanian, MD</w:t>
      </w:r>
    </w:p>
    <w:p>
      <w:pPr>
        <w:spacing w:after="0"/>
      </w:pPr>
      <w:r>
        <w:rPr>
          <w:rFonts w:ascii="Calibri" w:hAnsi="Calibri"/>
          <w:b w:val="0"/>
          <w:i w:val="0"/>
          <w:sz w:val="22"/>
        </w:rPr>
        <w:t>Sandia Digestive Health Associates</w:t>
      </w:r>
    </w:p>
    <w:p>
      <w:pPr>
        <w:spacing w:after="0"/>
      </w:pPr>
      <w:r>
        <w:rPr>
          <w:rFonts w:ascii="Calibri" w:hAnsi="Calibri"/>
          <w:b w:val="0"/>
          <w:i w:val="0"/>
          <w:sz w:val="22"/>
        </w:rPr>
        <w:t>201 Cedar St SE, Suite 410, Albuquerque, NM 87106</w:t>
      </w:r>
    </w:p>
    <w:p>
      <w:pPr>
        <w:spacing w:after="0"/>
      </w:pPr>
      <w:r>
        <w:rPr>
          <w:rFonts w:ascii="Calibri" w:hAnsi="Calibri"/>
          <w:b w:val="0"/>
          <w:i w:val="0"/>
          <w:sz w:val="22"/>
        </w:rPr>
        <w:t>Phone: (505) 555-0240    Fax: (505) 555-0241</w:t>
      </w:r>
    </w:p>
    <w:p>
      <w:pPr>
        <w:spacing w:after="240"/>
      </w:pPr>
      <w:r>
        <w:rPr>
          <w:rFonts w:ascii="Calibri" w:hAnsi="Calibri"/>
          <w:b w:val="0"/>
          <w:i w:val="0"/>
          <w:sz w:val="22"/>
        </w:rPr>
        <w:t>NPI: 1982736454</w:t>
      </w:r>
    </w:p>
    <w:p>
      <w:pPr>
        <w:spacing w:after="240"/>
      </w:pPr>
      <w:r>
        <w:rPr>
          <w:rFonts w:ascii="Calibri" w:hAnsi="Calibri"/>
          <w:b/>
          <w:i w:val="0"/>
          <w:sz w:val="22"/>
        </w:rPr>
        <w:t>RE: James Whitaker | DOB: 11/22/1958 | MRN: NMM-9912448</w:t>
      </w:r>
    </w:p>
    <w:p>
      <w:pPr>
        <w:spacing w:after="200"/>
      </w:pPr>
      <w:r>
        <w:rPr>
          <w:rFonts w:ascii="Calibri" w:hAnsi="Calibri"/>
          <w:b w:val="0"/>
          <w:i w:val="0"/>
          <w:sz w:val="22"/>
        </w:rPr>
        <w:t>Dear Dr. Subramanian:</w:t>
      </w:r>
    </w:p>
    <w:p>
      <w:pPr>
        <w:spacing w:after="120"/>
      </w:pPr>
      <w:r>
        <w:rPr>
          <w:rFonts w:ascii="Calibri" w:hAnsi="Calibri"/>
          <w:b/>
          <w:i w:val="0"/>
          <w:sz w:val="22"/>
        </w:rPr>
        <w:t xml:space="preserve">Reason for Referral: </w:t>
      </w:r>
      <w:r>
        <w:rPr>
          <w:rFonts w:ascii="Calibri" w:hAnsi="Calibri"/>
          <w:b w:val="0"/>
          <w:i w:val="0"/>
          <w:sz w:val="22"/>
        </w:rPr>
        <w:t>I am referring Mr. Whitaker for urgent evaluation of new microcytic anemia with concern for occult gastrointestinal bleeding; he requires bidirectional endoscopy (EGD and colonoscopy).</w:t>
      </w:r>
    </w:p>
    <w:p>
      <w:pPr>
        <w:spacing w:after="120"/>
      </w:pPr>
      <w:r>
        <w:rPr>
          <w:rFonts w:ascii="Calibri" w:hAnsi="Calibri"/>
          <w:b/>
          <w:i w:val="0"/>
          <w:sz w:val="22"/>
        </w:rPr>
        <w:t xml:space="preserve">History of Present Illness: </w:t>
      </w:r>
      <w:r>
        <w:rPr>
          <w:rFonts w:ascii="Calibri" w:hAnsi="Calibri"/>
          <w:b w:val="0"/>
          <w:i w:val="0"/>
          <w:sz w:val="22"/>
        </w:rPr>
        <w:t>Mr. Whitaker is a 67-year-old man with atrial fibrillation on apixaban, hyperlipidemia, and benign prostatic hyperplasia, who was found to have new microcytic anemia on recent labs. He denies hematemesis, melena, or frank hematochezia, but reports mild fatigue and intermittent epigastric discomfort over the past two months. He takes apixaban 5 mg BID, which heightens concern for an occult bleeding source. His last screening colonoscopy was reportedly more than ten years ago. Vitals stable; no orthostasis.</w:t>
      </w:r>
    </w:p>
    <w:p>
      <w:pPr>
        <w:spacing w:after="40"/>
      </w:pPr>
      <w:r>
        <w:rPr>
          <w:rFonts w:ascii="Calibri" w:hAnsi="Calibri"/>
          <w:b/>
          <w:i w:val="0"/>
          <w:sz w:val="22"/>
        </w:rPr>
        <w:t>Past Medical History:</w:t>
      </w:r>
    </w:p>
    <w:p>
      <w:pPr>
        <w:pStyle w:val="ListBullet"/>
        <w:spacing w:after="40"/>
      </w:pPr>
      <w:r>
        <w:rPr>
          <w:rFonts w:ascii="Calibri" w:hAnsi="Calibri"/>
          <w:b w:val="0"/>
          <w:i w:val="0"/>
          <w:sz w:val="22"/>
        </w:rPr>
        <w:t>Atrial fibrillation, persistent (I48.91)</w:t>
      </w:r>
    </w:p>
    <w:p>
      <w:pPr>
        <w:pStyle w:val="ListBullet"/>
        <w:spacing w:after="40"/>
      </w:pPr>
      <w:r>
        <w:rPr>
          <w:rFonts w:ascii="Calibri" w:hAnsi="Calibri"/>
          <w:b w:val="0"/>
          <w:i w:val="0"/>
          <w:sz w:val="22"/>
        </w:rPr>
        <w:t>Hyperlipidemia (E78.5)</w:t>
      </w:r>
    </w:p>
    <w:p>
      <w:pPr>
        <w:pStyle w:val="ListBullet"/>
        <w:spacing w:after="40"/>
      </w:pPr>
      <w:r>
        <w:rPr>
          <w:rFonts w:ascii="Calibri" w:hAnsi="Calibri"/>
          <w:b w:val="0"/>
          <w:i w:val="0"/>
          <w:sz w:val="22"/>
        </w:rPr>
        <w:t>Benign hyperplasia of prostate (N40.0)</w:t>
      </w:r>
    </w:p>
    <w:p>
      <w:pPr>
        <w:pStyle w:val="ListBullet"/>
        <w:spacing w:after="40"/>
      </w:pPr>
      <w:r>
        <w:rPr>
          <w:rFonts w:ascii="Calibri" w:hAnsi="Calibri"/>
          <w:b w:val="0"/>
          <w:i w:val="0"/>
          <w:sz w:val="22"/>
        </w:rPr>
        <w:t>Iron deficiency anemia, workup in progress (D50.9)</w:t>
      </w:r>
    </w:p>
    <w:p>
      <w:pPr>
        <w:spacing w:after="40" w:before="120"/>
      </w:pPr>
      <w:r>
        <w:rPr>
          <w:rFonts w:ascii="Calibri" w:hAnsi="Calibri"/>
          <w:b/>
          <w:i w:val="0"/>
          <w:sz w:val="22"/>
        </w:rPr>
        <w:t>Current Medications:</w:t>
      </w:r>
    </w:p>
    <w:p>
      <w:pPr>
        <w:pStyle w:val="ListBullet"/>
        <w:spacing w:after="40"/>
      </w:pPr>
      <w:r>
        <w:rPr>
          <w:rFonts w:ascii="Calibri" w:hAnsi="Calibri"/>
          <w:b w:val="0"/>
          <w:i w:val="0"/>
          <w:sz w:val="22"/>
        </w:rPr>
        <w:t>apixaban 5 mg PO BID</w:t>
      </w:r>
    </w:p>
    <w:p>
      <w:pPr>
        <w:pStyle w:val="ListBullet"/>
        <w:spacing w:after="40"/>
      </w:pPr>
      <w:r>
        <w:rPr>
          <w:rFonts w:ascii="Calibri" w:hAnsi="Calibri"/>
          <w:b w:val="0"/>
          <w:i w:val="0"/>
          <w:sz w:val="22"/>
        </w:rPr>
        <w:t>metoprolol succinate 50 mg PO daily</w:t>
      </w:r>
    </w:p>
    <w:p>
      <w:pPr>
        <w:pStyle w:val="ListBullet"/>
        <w:spacing w:after="40"/>
      </w:pPr>
      <w:r>
        <w:rPr>
          <w:rFonts w:ascii="Calibri" w:hAnsi="Calibri"/>
          <w:b w:val="0"/>
          <w:i w:val="0"/>
          <w:sz w:val="22"/>
        </w:rPr>
        <w:t>atorvastatin 20 mg PO daily</w:t>
      </w:r>
    </w:p>
    <w:p>
      <w:pPr>
        <w:pStyle w:val="ListBullet"/>
        <w:spacing w:after="40"/>
      </w:pPr>
      <w:r>
        <w:rPr>
          <w:rFonts w:ascii="Calibri" w:hAnsi="Calibri"/>
          <w:b w:val="0"/>
          <w:i w:val="0"/>
          <w:sz w:val="22"/>
        </w:rPr>
        <w:t>tamsulosin 0.4 mg PO daily</w:t>
      </w:r>
    </w:p>
    <w:p>
      <w:pPr>
        <w:spacing w:after="120"/>
      </w:pPr>
      <w:r>
        <w:rPr>
          <w:rFonts w:ascii="Calibri" w:hAnsi="Calibri"/>
          <w:b/>
          <w:i w:val="0"/>
          <w:sz w:val="22"/>
        </w:rPr>
        <w:t xml:space="preserve">Allergies: </w:t>
      </w:r>
      <w:r>
        <w:rPr>
          <w:rFonts w:ascii="Calibri" w:hAnsi="Calibri"/>
          <w:b w:val="0"/>
          <w:i w:val="0"/>
          <w:sz w:val="22"/>
        </w:rPr>
        <w:t>Sulfa drugs — rash</w:t>
      </w:r>
    </w:p>
    <w:p>
      <w:pPr>
        <w:spacing w:after="40" w:before="120"/>
      </w:pPr>
      <w:r>
        <w:rPr>
          <w:rFonts w:ascii="Calibri" w:hAnsi="Calibri"/>
          <w:b/>
          <w:i w:val="0"/>
          <w:sz w:val="22"/>
        </w:rPr>
        <w:t>Pertinent Labs:</w:t>
      </w:r>
    </w:p>
    <w:p>
      <w:pPr>
        <w:pStyle w:val="ListBullet"/>
        <w:spacing w:after="40"/>
      </w:pPr>
      <w:r>
        <w:rPr>
          <w:rFonts w:ascii="Calibri" w:hAnsi="Calibri"/>
          <w:b w:val="0"/>
          <w:i w:val="0"/>
          <w:sz w:val="22"/>
        </w:rPr>
        <w:t>Hemoglobin: 10.4 g/dL [LOW]  (2026-04-15)</w:t>
      </w:r>
    </w:p>
    <w:p>
      <w:pPr>
        <w:pStyle w:val="ListBullet"/>
        <w:spacing w:after="40"/>
      </w:pPr>
      <w:r>
        <w:rPr>
          <w:rFonts w:ascii="Calibri" w:hAnsi="Calibri"/>
          <w:b w:val="0"/>
          <w:i w:val="0"/>
          <w:sz w:val="22"/>
        </w:rPr>
        <w:t>Hematocrit: 32.1 % [LOW]  (2026-04-15)</w:t>
      </w:r>
    </w:p>
    <w:p>
      <w:pPr>
        <w:pStyle w:val="ListBullet"/>
        <w:spacing w:after="40"/>
      </w:pPr>
      <w:r>
        <w:rPr>
          <w:rFonts w:ascii="Calibri" w:hAnsi="Calibri"/>
          <w:b w:val="0"/>
          <w:i w:val="0"/>
          <w:sz w:val="22"/>
        </w:rPr>
        <w:t>MCV: 76 fL [LOW]  (2026-04-15)</w:t>
      </w:r>
    </w:p>
    <w:p>
      <w:pPr>
        <w:pStyle w:val="ListBullet"/>
        <w:spacing w:after="40"/>
      </w:pPr>
      <w:r>
        <w:rPr>
          <w:rFonts w:ascii="Calibri" w:hAnsi="Calibri"/>
          <w:b w:val="0"/>
          <w:i w:val="0"/>
          <w:sz w:val="22"/>
        </w:rPr>
        <w:t>Platelets: 245 x10^9/L  (2026-04-15)</w:t>
      </w:r>
    </w:p>
    <w:p>
      <w:pPr>
        <w:pStyle w:val="ListBullet"/>
        <w:spacing w:after="40"/>
      </w:pPr>
      <w:r>
        <w:rPr>
          <w:rFonts w:ascii="Calibri" w:hAnsi="Calibri"/>
          <w:b w:val="0"/>
          <w:i w:val="0"/>
          <w:sz w:val="22"/>
        </w:rPr>
        <w:t>WBC: 6.8 x10^9/L  (2026-04-15)</w:t>
      </w:r>
    </w:p>
    <w:p>
      <w:pPr>
        <w:spacing w:after="120"/>
      </w:pPr>
      <w:r>
        <w:rPr>
          <w:rFonts w:ascii="Calibri" w:hAnsi="Calibri"/>
          <w:b/>
          <w:i w:val="0"/>
          <w:sz w:val="22"/>
        </w:rPr>
        <w:t xml:space="preserve">Specific Question / Requested Action: </w:t>
      </w:r>
      <w:r>
        <w:rPr>
          <w:rFonts w:ascii="Calibri" w:hAnsi="Calibri"/>
          <w:b w:val="0"/>
          <w:i w:val="0"/>
          <w:sz w:val="22"/>
        </w:rPr>
        <w:t>Please proceed with EGD and colonoscopy to evaluate for an upper or lower GI bleeding source. Please coordinate periprocedural anticoagulation management given his apixaban use.</w:t>
      </w:r>
    </w:p>
    <w:p>
      <w:pPr>
        <w:spacing w:after="120"/>
      </w:pPr>
      <w:r>
        <w:rPr>
          <w:rFonts w:ascii="Calibri" w:hAnsi="Calibri"/>
          <w:b w:val="0"/>
          <w:i w:val="0"/>
          <w:sz w:val="22"/>
        </w:rPr>
      </w:r>
    </w:p>
    <w:p>
      <w:pPr>
        <w:spacing w:after="480"/>
      </w:pPr>
      <w:r>
        <w:rPr>
          <w:rFonts w:ascii="Calibri" w:hAnsi="Calibri"/>
          <w:b w:val="0"/>
          <w:i w:val="0"/>
          <w:sz w:val="22"/>
        </w:rPr>
        <w:t>Sincerely,</w:t>
      </w:r>
    </w:p>
    <w:p>
      <w:pPr>
        <w:spacing w:after="0"/>
      </w:pPr>
      <w:r>
        <w:rPr>
          <w:rFonts w:ascii="Calibri" w:hAnsi="Calibri"/>
          <w:b/>
          <w:i w:val="0"/>
          <w:sz w:val="22"/>
        </w:rPr>
        <w:t>Daniel Ortega, DO</w:t>
      </w:r>
    </w:p>
    <w:p>
      <w:pPr>
        <w:spacing w:after="0"/>
      </w:pPr>
      <w:r>
        <w:rPr>
          <w:rFonts w:ascii="Calibri" w:hAnsi="Calibri"/>
          <w:b w:val="0"/>
          <w:i w:val="0"/>
          <w:sz w:val="22"/>
        </w:rPr>
        <w:t>New Mexico Medical Group — Family Medicine</w:t>
      </w:r>
    </w:p>
    <w:p>
      <w:pPr>
        <w:spacing w:after="0"/>
      </w:pPr>
      <w:r>
        <w:rPr>
          <w:rFonts w:ascii="Calibri" w:hAnsi="Calibri"/>
          <w:b w:val="0"/>
          <w:i w:val="0"/>
          <w:sz w:val="22"/>
        </w:rPr>
        <w:t>NPI: 1636814596</w:t>
      </w:r>
    </w:p>
    <w:p>
      <w:pPr>
        <w:spacing w:after="240"/>
      </w:pPr>
      <w:r>
        <w:rPr>
          <w:rFonts w:ascii="Calibri" w:hAnsi="Calibri"/>
          <w:b w:val="0"/>
          <w:i w:val="0"/>
          <w:sz w:val="22"/>
        </w:rPr>
        <w:t>Phone: (505) 555-0150    Fax: (505) 555-0151</w:t>
      </w:r>
    </w:p>
    <w:p>
      <w:pPr>
        <w:spacing w:before="360"/>
        <w:jc w:val="center"/>
      </w:pPr>
      <w:r>
        <w:rPr>
          <w:rFonts w:ascii="Calibri" w:hAnsi="Calibri"/>
          <w:b w:val="0"/>
          <w:i/>
          <w:color w:val="666666"/>
          <w:sz w:val="18"/>
        </w:rPr>
        <w:t>Synthetic data — no PHI. Generated for AgentForge curriculum.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