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A5F"/>
          <w:sz w:val="32"/>
        </w:rPr>
        <w:t>Henry Ford Health — Woodward Internal Medicine</w:t>
      </w:r>
    </w:p>
    <w:p>
      <w:pPr>
        <w:spacing w:after="0"/>
        <w:jc w:val="center"/>
      </w:pPr>
      <w:r>
        <w:rPr>
          <w:rFonts w:ascii="Calibri" w:hAnsi="Calibri"/>
          <w:b w:val="0"/>
          <w:i w:val="0"/>
          <w:sz w:val="20"/>
        </w:rPr>
        <w:t>2799 W Grand Blvd, Suite 400, Detroit, MI 48202</w:t>
      </w:r>
    </w:p>
    <w:p>
      <w:pPr>
        <w:spacing w:after="240"/>
        <w:jc w:val="center"/>
      </w:pPr>
      <w:r>
        <w:rPr>
          <w:rFonts w:ascii="Calibri" w:hAnsi="Calibri"/>
          <w:b w:val="0"/>
          <w:i w:val="0"/>
          <w:sz w:val="20"/>
        </w:rPr>
        <w:t>Phone: (313) 555-0140    Fax: (313) 555-0141</w:t>
      </w:r>
    </w:p>
    <w:p>
      <w:pPr>
        <w:spacing w:after="240"/>
      </w:pPr>
      <w:r>
        <w:rPr>
          <w:rFonts w:ascii="Calibri" w:hAnsi="Calibri"/>
          <w:b w:val="0"/>
          <w:i w:val="0"/>
          <w:sz w:val="22"/>
        </w:rPr>
        <w:t>May 6, 2026</w:t>
      </w:r>
    </w:p>
    <w:p>
      <w:pPr>
        <w:spacing w:after="0"/>
      </w:pPr>
      <w:r>
        <w:rPr>
          <w:rFonts w:ascii="Calibri" w:hAnsi="Calibri"/>
          <w:b w:val="0"/>
          <w:i w:val="0"/>
          <w:sz w:val="22"/>
        </w:rPr>
        <w:t>Aaron Becker, MD</w:t>
      </w:r>
    </w:p>
    <w:p>
      <w:pPr>
        <w:spacing w:after="0"/>
      </w:pPr>
      <w:r>
        <w:rPr>
          <w:rFonts w:ascii="Calibri" w:hAnsi="Calibri"/>
          <w:b w:val="0"/>
          <w:i w:val="0"/>
          <w:sz w:val="22"/>
        </w:rPr>
        <w:t>Great Lakes Kidney Specialists</w:t>
      </w:r>
    </w:p>
    <w:p>
      <w:pPr>
        <w:spacing w:after="0"/>
      </w:pPr>
      <w:r>
        <w:rPr>
          <w:rFonts w:ascii="Calibri" w:hAnsi="Calibri"/>
          <w:b w:val="0"/>
          <w:i w:val="0"/>
          <w:sz w:val="22"/>
        </w:rPr>
        <w:t>6071 W Outer Drive, Suite 320, Detroit, MI 48235</w:t>
      </w:r>
    </w:p>
    <w:p>
      <w:pPr>
        <w:spacing w:after="0"/>
      </w:pPr>
      <w:r>
        <w:rPr>
          <w:rFonts w:ascii="Calibri" w:hAnsi="Calibri"/>
          <w:b w:val="0"/>
          <w:i w:val="0"/>
          <w:sz w:val="22"/>
        </w:rPr>
        <w:t>Phone: (313) 555-0320    Fax: (313) 555-0321</w:t>
      </w:r>
    </w:p>
    <w:p>
      <w:pPr>
        <w:spacing w:after="240"/>
      </w:pPr>
      <w:r>
        <w:rPr>
          <w:rFonts w:ascii="Calibri" w:hAnsi="Calibri"/>
          <w:b w:val="0"/>
          <w:i w:val="0"/>
          <w:sz w:val="22"/>
        </w:rPr>
        <w:t>NPI: 1938475629</w:t>
      </w:r>
    </w:p>
    <w:p>
      <w:pPr>
        <w:spacing w:after="240"/>
      </w:pPr>
      <w:r>
        <w:rPr>
          <w:rFonts w:ascii="Calibri" w:hAnsi="Calibri"/>
          <w:b/>
          <w:i w:val="0"/>
          <w:sz w:val="22"/>
        </w:rPr>
        <w:t>RE: Marcus Johnson | DOB: 02/08/1954 | MRN: HFH-8866213</w:t>
      </w:r>
    </w:p>
    <w:p>
      <w:pPr>
        <w:spacing w:after="200"/>
      </w:pPr>
      <w:r>
        <w:rPr>
          <w:rFonts w:ascii="Calibri" w:hAnsi="Calibri"/>
          <w:b w:val="0"/>
          <w:i w:val="0"/>
          <w:sz w:val="22"/>
        </w:rPr>
        <w:t>Dear Dr. Becker:</w:t>
      </w:r>
    </w:p>
    <w:p>
      <w:pPr>
        <w:spacing w:after="120"/>
      </w:pPr>
      <w:r>
        <w:rPr>
          <w:rFonts w:ascii="Calibri" w:hAnsi="Calibri"/>
          <w:b/>
          <w:i w:val="0"/>
          <w:sz w:val="22"/>
        </w:rPr>
        <w:t xml:space="preserve">Reason for Referral: </w:t>
      </w:r>
      <w:r>
        <w:rPr>
          <w:rFonts w:ascii="Calibri" w:hAnsi="Calibri"/>
          <w:b w:val="0"/>
          <w:i w:val="0"/>
          <w:sz w:val="22"/>
        </w:rPr>
        <w:t>I am referring Mr. Johnson for nephrology evaluation of CKD stage 3a and assistance with diuretic and RAAS-inhibitor optimization in the setting of HFrEF (EF 32%) and diabetic kidney disease.</w:t>
      </w:r>
    </w:p>
    <w:p>
      <w:pPr>
        <w:spacing w:after="120"/>
      </w:pPr>
      <w:r>
        <w:rPr>
          <w:rFonts w:ascii="Calibri" w:hAnsi="Calibri"/>
          <w:b/>
          <w:i w:val="0"/>
          <w:sz w:val="22"/>
        </w:rPr>
        <w:t xml:space="preserve">History of Present Illness: </w:t>
      </w:r>
      <w:r>
        <w:rPr>
          <w:rFonts w:ascii="Calibri" w:hAnsi="Calibri"/>
          <w:b w:val="0"/>
          <w:i w:val="0"/>
          <w:sz w:val="22"/>
        </w:rPr>
        <w:t>Mr. Johnson is a 71-year-old African-American man with HFrEF (EF 32%), CKD stage 3a, type 2 diabetes with diabetic kidney disease, hypertension, and hyperlipidemia, who is being co-managed for advanced cardiorenal disease. Recent labs on 04/25/2026 show BNP 842 pg/mL, eGFR 47 mL/min/1.73m^2, creatinine 1.6 mg/dL, potassium 4.9 mmol/L, and hemoglobin 11.2 g/dL. Of note, there is a medication reconciliation discrepancy: he developed angioedema on lisinopril and was transitioned to losartan in the chart, but lisinopril continues to appear on his active medication list and pharmacy fills require clarification. He remains on guideline-directed therapy including carvedilol, spironolactone, empagliflozin, and furosemide 40 mg BID.</w:t>
      </w:r>
    </w:p>
    <w:p>
      <w:pPr>
        <w:spacing w:after="40"/>
      </w:pPr>
      <w:r>
        <w:rPr>
          <w:rFonts w:ascii="Calibri" w:hAnsi="Calibri"/>
          <w:b/>
          <w:i w:val="0"/>
          <w:sz w:val="22"/>
        </w:rPr>
        <w:t>Past Medical History:</w:t>
      </w:r>
    </w:p>
    <w:p>
      <w:pPr>
        <w:pStyle w:val="ListBullet"/>
        <w:spacing w:after="40"/>
      </w:pPr>
      <w:r>
        <w:rPr>
          <w:rFonts w:ascii="Calibri" w:hAnsi="Calibri"/>
          <w:b w:val="0"/>
          <w:i w:val="0"/>
          <w:sz w:val="22"/>
        </w:rPr>
        <w:t>Heart failure with reduced ejection fraction, EF 32% (I50.32)</w:t>
      </w:r>
    </w:p>
    <w:p>
      <w:pPr>
        <w:pStyle w:val="ListBullet"/>
        <w:spacing w:after="40"/>
      </w:pPr>
      <w:r>
        <w:rPr>
          <w:rFonts w:ascii="Calibri" w:hAnsi="Calibri"/>
          <w:b w:val="0"/>
          <w:i w:val="0"/>
          <w:sz w:val="22"/>
        </w:rPr>
        <w:t>Chronic kidney disease, stage 3a (N18.31)</w:t>
      </w:r>
    </w:p>
    <w:p>
      <w:pPr>
        <w:pStyle w:val="ListBullet"/>
        <w:spacing w:after="40"/>
      </w:pPr>
      <w:r>
        <w:rPr>
          <w:rFonts w:ascii="Calibri" w:hAnsi="Calibri"/>
          <w:b w:val="0"/>
          <w:i w:val="0"/>
          <w:sz w:val="22"/>
        </w:rPr>
        <w:t>Type 2 diabetes mellitus with diabetic chronic kidney disease (E11.22)</w:t>
      </w:r>
    </w:p>
    <w:p>
      <w:pPr>
        <w:pStyle w:val="ListBullet"/>
        <w:spacing w:after="40"/>
      </w:pPr>
      <w:r>
        <w:rPr>
          <w:rFonts w:ascii="Calibri" w:hAnsi="Calibri"/>
          <w:b w:val="0"/>
          <w:i w:val="0"/>
          <w:sz w:val="22"/>
        </w:rPr>
        <w:t>Essential hypertension (I10)</w:t>
      </w:r>
    </w:p>
    <w:p>
      <w:pPr>
        <w:pStyle w:val="ListBullet"/>
        <w:spacing w:after="40"/>
      </w:pPr>
      <w:r>
        <w:rPr>
          <w:rFonts w:ascii="Calibri" w:hAnsi="Calibri"/>
          <w:b w:val="0"/>
          <w:i w:val="0"/>
          <w:sz w:val="22"/>
        </w:rPr>
        <w:t>Hyperlipidemia (E78.5)</w:t>
      </w:r>
    </w:p>
    <w:p>
      <w:pPr>
        <w:spacing w:after="40" w:before="120"/>
      </w:pPr>
      <w:r>
        <w:rPr>
          <w:rFonts w:ascii="Calibri" w:hAnsi="Calibri"/>
          <w:b/>
          <w:i w:val="0"/>
          <w:sz w:val="22"/>
        </w:rPr>
        <w:t>Current Medications:</w:t>
      </w:r>
    </w:p>
    <w:p>
      <w:pPr>
        <w:pStyle w:val="ListBullet"/>
        <w:spacing w:after="40"/>
      </w:pPr>
      <w:r>
        <w:rPr>
          <w:rFonts w:ascii="Calibri" w:hAnsi="Calibri"/>
          <w:b w:val="0"/>
          <w:i w:val="0"/>
          <w:sz w:val="22"/>
        </w:rPr>
        <w:t>furosemide 40 mg PO BID</w:t>
      </w:r>
    </w:p>
    <w:p>
      <w:pPr>
        <w:pStyle w:val="ListBullet"/>
        <w:spacing w:after="40"/>
      </w:pPr>
      <w:r>
        <w:rPr>
          <w:rFonts w:ascii="Calibri" w:hAnsi="Calibri"/>
          <w:b w:val="0"/>
          <w:i w:val="0"/>
          <w:sz w:val="22"/>
        </w:rPr>
        <w:t>lisinopril 10 mg PO daily  (HOLD per ACE-i angioedema; reconciliation pending)</w:t>
      </w:r>
    </w:p>
    <w:p>
      <w:pPr>
        <w:pStyle w:val="ListBullet"/>
        <w:spacing w:after="40"/>
      </w:pPr>
      <w:r>
        <w:rPr>
          <w:rFonts w:ascii="Calibri" w:hAnsi="Calibri"/>
          <w:b w:val="0"/>
          <w:i w:val="0"/>
          <w:sz w:val="22"/>
        </w:rPr>
        <w:t>carvedilol 12.5 mg PO BID</w:t>
      </w:r>
    </w:p>
    <w:p>
      <w:pPr>
        <w:pStyle w:val="ListBullet"/>
        <w:spacing w:after="40"/>
      </w:pPr>
      <w:r>
        <w:rPr>
          <w:rFonts w:ascii="Calibri" w:hAnsi="Calibri"/>
          <w:b w:val="0"/>
          <w:i w:val="0"/>
          <w:sz w:val="22"/>
        </w:rPr>
        <w:t>empagliflozin 10 mg PO daily</w:t>
      </w:r>
    </w:p>
    <w:p>
      <w:pPr>
        <w:pStyle w:val="ListBullet"/>
        <w:spacing w:after="40"/>
      </w:pPr>
      <w:r>
        <w:rPr>
          <w:rFonts w:ascii="Calibri" w:hAnsi="Calibri"/>
          <w:b w:val="0"/>
          <w:i w:val="0"/>
          <w:sz w:val="22"/>
        </w:rPr>
        <w:t>atorvastatin 40 mg PO daily</w:t>
      </w:r>
    </w:p>
    <w:p>
      <w:pPr>
        <w:pStyle w:val="ListBullet"/>
        <w:spacing w:after="40"/>
      </w:pPr>
      <w:r>
        <w:rPr>
          <w:rFonts w:ascii="Calibri" w:hAnsi="Calibri"/>
          <w:b w:val="0"/>
          <w:i w:val="0"/>
          <w:sz w:val="22"/>
        </w:rPr>
        <w:t>spironolactone 25 mg PO daily</w:t>
      </w:r>
    </w:p>
    <w:p>
      <w:pPr>
        <w:pStyle w:val="ListBullet"/>
        <w:spacing w:after="40"/>
      </w:pPr>
      <w:r>
        <w:rPr>
          <w:rFonts w:ascii="Calibri" w:hAnsi="Calibri"/>
          <w:b w:val="0"/>
          <w:i w:val="0"/>
          <w:sz w:val="22"/>
        </w:rPr>
        <w:t>aspirin 81 mg PO daily</w:t>
      </w:r>
    </w:p>
    <w:p>
      <w:pPr>
        <w:spacing w:after="120"/>
      </w:pPr>
      <w:r>
        <w:rPr>
          <w:rFonts w:ascii="Calibri" w:hAnsi="Calibri"/>
          <w:b/>
          <w:i w:val="0"/>
          <w:sz w:val="22"/>
        </w:rPr>
        <w:t xml:space="preserve">Allergies: </w:t>
      </w:r>
      <w:r>
        <w:rPr>
          <w:rFonts w:ascii="Calibri" w:hAnsi="Calibri"/>
          <w:b w:val="0"/>
          <w:i w:val="0"/>
          <w:sz w:val="22"/>
        </w:rPr>
        <w:t>ACE inhibitor — angioedema (lisinopril discontinued; switched to losartan in chart)</w:t>
      </w:r>
    </w:p>
    <w:p>
      <w:pPr>
        <w:spacing w:after="40" w:before="120"/>
      </w:pPr>
      <w:r>
        <w:rPr>
          <w:rFonts w:ascii="Calibri" w:hAnsi="Calibri"/>
          <w:b/>
          <w:i w:val="0"/>
          <w:sz w:val="22"/>
        </w:rPr>
        <w:t>Pertinent Labs:</w:t>
      </w:r>
    </w:p>
    <w:p>
      <w:pPr>
        <w:pStyle w:val="ListBullet"/>
        <w:spacing w:after="40"/>
      </w:pPr>
      <w:r>
        <w:rPr>
          <w:rFonts w:ascii="Calibri" w:hAnsi="Calibri"/>
          <w:b w:val="0"/>
          <w:i w:val="0"/>
          <w:sz w:val="22"/>
        </w:rPr>
        <w:t>BNP: 842 pg/mL [HIGH]  (2026-04-25)</w:t>
      </w:r>
    </w:p>
    <w:p>
      <w:pPr>
        <w:pStyle w:val="ListBullet"/>
        <w:spacing w:after="40"/>
      </w:pPr>
      <w:r>
        <w:rPr>
          <w:rFonts w:ascii="Calibri" w:hAnsi="Calibri"/>
          <w:b w:val="0"/>
          <w:i w:val="0"/>
          <w:sz w:val="22"/>
        </w:rPr>
        <w:t>eGFR: 47 mL/min/1.73m^2 [LOW]  (2026-04-25)</w:t>
      </w:r>
    </w:p>
    <w:p>
      <w:pPr>
        <w:pStyle w:val="ListBullet"/>
        <w:spacing w:after="40"/>
      </w:pPr>
      <w:r>
        <w:rPr>
          <w:rFonts w:ascii="Calibri" w:hAnsi="Calibri"/>
          <w:b w:val="0"/>
          <w:i w:val="0"/>
          <w:sz w:val="22"/>
        </w:rPr>
        <w:t>Creatinine: 1.6 mg/dL  (2026-04-25)</w:t>
      </w:r>
    </w:p>
    <w:p>
      <w:pPr>
        <w:pStyle w:val="ListBullet"/>
        <w:spacing w:after="40"/>
      </w:pPr>
      <w:r>
        <w:rPr>
          <w:rFonts w:ascii="Calibri" w:hAnsi="Calibri"/>
          <w:b w:val="0"/>
          <w:i w:val="0"/>
          <w:sz w:val="22"/>
        </w:rPr>
        <w:t>Potassium: 4.9 mmol/L  (2026-04-25)</w:t>
      </w:r>
    </w:p>
    <w:p>
      <w:pPr>
        <w:pStyle w:val="ListBullet"/>
        <w:spacing w:after="40"/>
      </w:pPr>
      <w:r>
        <w:rPr>
          <w:rFonts w:ascii="Calibri" w:hAnsi="Calibri"/>
          <w:b w:val="0"/>
          <w:i w:val="0"/>
          <w:sz w:val="22"/>
        </w:rPr>
        <w:t>Hemoglobin: 11.2 g/dL [LOW]  (2026-04-25)</w:t>
      </w:r>
    </w:p>
    <w:p>
      <w:pPr>
        <w:spacing w:after="120"/>
      </w:pPr>
      <w:r>
        <w:rPr>
          <w:rFonts w:ascii="Calibri" w:hAnsi="Calibri"/>
          <w:b/>
          <w:i w:val="0"/>
          <w:sz w:val="22"/>
        </w:rPr>
        <w:t xml:space="preserve">Specific Question / Requested Action: </w:t>
      </w:r>
      <w:r>
        <w:rPr>
          <w:rFonts w:ascii="Calibri" w:hAnsi="Calibri"/>
          <w:b w:val="0"/>
          <w:i w:val="0"/>
          <w:sz w:val="22"/>
        </w:rPr>
        <w:t>Please assist with diuretic regimen optimization, advise on safe up-titration of losartan and spironolactone given borderline-high potassium and reduced eGFR, and confirm appropriateness of continued empagliflozin at this eGFR. Co-management with cardiology is in place.</w:t>
      </w:r>
    </w:p>
    <w:p>
      <w:pPr>
        <w:spacing w:after="120"/>
      </w:pPr>
      <w:r>
        <w:rPr>
          <w:rFonts w:ascii="Calibri" w:hAnsi="Calibri"/>
          <w:b w:val="0"/>
          <w:i w:val="0"/>
          <w:sz w:val="22"/>
        </w:rPr>
      </w:r>
    </w:p>
    <w:p>
      <w:pPr>
        <w:spacing w:after="480"/>
      </w:pPr>
      <w:r>
        <w:rPr>
          <w:rFonts w:ascii="Calibri" w:hAnsi="Calibri"/>
          <w:b w:val="0"/>
          <w:i w:val="0"/>
          <w:sz w:val="22"/>
        </w:rPr>
        <w:t>Sincerely,</w:t>
      </w:r>
    </w:p>
    <w:p>
      <w:pPr>
        <w:spacing w:after="0"/>
      </w:pPr>
      <w:r>
        <w:rPr>
          <w:rFonts w:ascii="Calibri" w:hAnsi="Calibri"/>
          <w:b/>
          <w:i w:val="0"/>
          <w:sz w:val="22"/>
        </w:rPr>
        <w:t>Olivia Bennett, MD</w:t>
      </w:r>
    </w:p>
    <w:p>
      <w:pPr>
        <w:spacing w:after="0"/>
      </w:pPr>
      <w:r>
        <w:rPr>
          <w:rFonts w:ascii="Calibri" w:hAnsi="Calibri"/>
          <w:b w:val="0"/>
          <w:i w:val="0"/>
          <w:sz w:val="22"/>
        </w:rPr>
        <w:t>Henry Ford Health — Woodward Internal Medicine</w:t>
      </w:r>
    </w:p>
    <w:p>
      <w:pPr>
        <w:spacing w:after="0"/>
      </w:pPr>
      <w:r>
        <w:rPr>
          <w:rFonts w:ascii="Calibri" w:hAnsi="Calibri"/>
          <w:b w:val="0"/>
          <w:i w:val="0"/>
          <w:sz w:val="22"/>
        </w:rPr>
        <w:t>NPI: 1543765287</w:t>
      </w:r>
    </w:p>
    <w:p>
      <w:pPr>
        <w:spacing w:after="240"/>
      </w:pPr>
      <w:r>
        <w:rPr>
          <w:rFonts w:ascii="Calibri" w:hAnsi="Calibri"/>
          <w:b w:val="0"/>
          <w:i w:val="0"/>
          <w:sz w:val="22"/>
        </w:rPr>
        <w:t>Phone: (313) 555-0140    Fax: (313) 555-0141</w:t>
      </w:r>
    </w:p>
    <w:p>
      <w:pPr>
        <w:spacing w:before="360"/>
        <w:jc w:val="center"/>
      </w:pPr>
      <w:r>
        <w:rPr>
          <w:rFonts w:ascii="Calibri" w:hAnsi="Calibri"/>
          <w:b w:val="0"/>
          <w:i/>
          <w:color w:val="666666"/>
          <w:sz w:val="18"/>
        </w:rPr>
        <w:t>Synthetic data — no PHI. Generated for AgentForge curriculum.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