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83B66"/>
        </w:rPr>
        <w:t>Word layout reference</w:t>
      </w:r>
    </w:p>
    <w:p>
      <w:r>
        <w:rPr>
          <w:b/>
        </w:rPr>
        <w:t xml:space="preserve">Mixed formatting: </w:t>
      </w:r>
      <w:r>
        <w:rPr>
          <w:i/>
        </w:rPr>
        <w:t>italic</w:t>
      </w:r>
      <w:r>
        <w:t>, Japanese 日本語, emoji ✓, and a long line that exercises wrapping.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  <w:gridCol w:w="4939"/>
      </w:tblGrid>
      <w:tr>
        <w:tc>
          <w:tcPr>
            <w:tcW w:type="dxa" w:w="4939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39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939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939"/>
          </w:tcPr>
          <w:p>
            <w:r>
              <w:t>Typography</w:t>
            </w:r>
          </w:p>
        </w:tc>
        <w:tc>
          <w:tcPr>
            <w:tcW w:type="dxa" w:w="4939"/>
          </w:tcPr>
          <w:p>
            <w:r>
              <w:t>18 pt / bold</w:t>
            </w:r>
          </w:p>
        </w:tc>
        <w:tc>
          <w:tcPr>
            <w:tcW w:type="dxa" w:w="4939"/>
          </w:tcPr>
          <w:p>
            <w:r>
              <w:t>Ready</w:t>
            </w:r>
          </w:p>
        </w:tc>
      </w:tr>
      <w:tr>
        <w:tc>
          <w:tcPr>
            <w:tcW w:type="dxa" w:w="4939"/>
          </w:tcPr>
          <w:p>
            <w:r>
              <w:t>Table</w:t>
            </w:r>
          </w:p>
        </w:tc>
        <w:tc>
          <w:tcPr>
            <w:tcW w:type="dxa" w:w="4939"/>
          </w:tcPr>
          <w:p>
            <w:r>
              <w:t>Merged-independent</w:t>
            </w:r>
          </w:p>
        </w:tc>
        <w:tc>
          <w:tcPr>
            <w:tcW w:type="dxa" w:w="4939"/>
          </w:tcPr>
          <w:p>
            <w:r>
              <w:t>Ready</w:t>
            </w:r>
          </w:p>
        </w:tc>
      </w:tr>
      <w:tr>
        <w:tc>
          <w:tcPr>
            <w:tcW w:type="dxa" w:w="4939"/>
          </w:tcPr>
          <w:p>
            <w:r>
              <w:t>External link</w:t>
            </w:r>
          </w:p>
        </w:tc>
        <w:tc>
          <w:tcPr>
            <w:tcW w:type="dxa" w:w="4939"/>
          </w:tcPr>
          <w:p>
            <w:r>
              <w:t>https://example.invalid/</w:t>
            </w:r>
          </w:p>
        </w:tc>
        <w:tc>
          <w:tcPr>
            <w:tcW w:type="dxa" w:w="4939"/>
          </w:tcPr>
          <w:p>
            <w:r>
              <w:t>Blocked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840480" cy="2160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-shapes.png"/>
                    <pic:cNvPicPr/>
                  </pic:nvPicPr>
                  <pic:blipFill>
                    <a:blip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Figure 1: deterministic geometry reference</w:t>
      </w:r>
    </w:p>
    <w:p>
      <w:r>
        <w:br w:type="page"/>
      </w:r>
    </w:p>
    <w:p>
      <w:pPr>
        <w:pStyle w:val="Heading1"/>
      </w:pPr>
      <w:r>
        <w:t>Second page</w:t>
      </w:r>
    </w:p>
    <w:p>
      <w:r>
        <w:t>The second page verifies page breaks, headers, margins, and navigation.</w:t>
      </w:r>
    </w:p>
    <w:sectPr w:rsidR="00FC693F" w:rsidRPr="0006063C" w:rsidSect="00034616">
      <w:headerReference w:type="default" r:id="rId9"/>
      <w:footerReference w:type="default" r:id="rId11"/>
      <w:pgSz w:w="16834" w:h="11909" w:orient="landscape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KDV fixture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KDV multi-format feasibility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http://127.0.0.1:43127/kdv-external-reference.png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KDV DOCX representative</dc:title>
  <dc:subject/>
  <dc:creator>KDV feasibility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