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rPr>
          <w:rFonts w:ascii="Cambria" w:hAnsi="Cambria"/>
          <w:sz w:val="22"/>
        </w:rPr>
        <w:t>Quarterly chart:</w:t>
      </w:r>
    </w:p>
    <w:p>
      <w:r>
        <w:drawing>
          <wp:inline distT="0" distB="0" distL="0" distR="0">
            <wp:extent cx="1524000" cy="762000"/>
            <wp:docPr id="1" name="Quarterly chart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Cambria" w:hAnsi="Cambria"/>
          <w:sz w:val="22"/>
        </w:rPr>
        <w:t>See the appendix for the complete report.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Relationships xmlns="http://schemas.openxmlformats.org/package/2006/relationships"><Relationship Id="rIdImage1" Type="http://schemas.openxmlformats.org/officeDocument/2006/relationships/image" Target="media/image1.png"/></Relationships>
</file>