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0D9488"/>
          <w:sz w:val="26"/>
        </w:rPr>
        <w:t>EVNexus — Multi-Tenant EV Charging Management Platform</w:t>
        <w:br/>
      </w:r>
    </w:p>
    <w:p>
      <w:pPr>
        <w:spacing w:before="0" w:after="120"/>
      </w:pPr>
      <w:r>
        <w:rPr>
          <w:rFonts w:ascii="Segoe UI" w:hAnsi="Segoe UI"/>
          <w:b/>
          <w:color w:val="0F2B5C"/>
          <w:sz w:val="44"/>
        </w:rPr>
        <w:t>7. Testing Documentation</w:t>
      </w:r>
    </w:p>
    <w:p>
      <w:pPr>
        <w:spacing w:before="0" w:after="240"/>
      </w:pPr>
      <w:r>
        <w:rPr>
          <w:rFonts w:ascii="Segoe UI" w:hAnsi="Segoe UI"/>
          <w:i/>
          <w:color w:val="64748B"/>
          <w:sz w:val="20"/>
        </w:rPr>
        <w:t>Sprint 4 Deliverables: Epic SCRUM-89 — Dashboard &amp; AI Analytics | Official QA Engineering Verification Report</w:t>
      </w:r>
    </w:p>
    <w:tbl>
      <w:tblPr>
        <w:tblW w:type="auto" w:w="0"/>
        <w:tblLook w:firstColumn="1" w:firstRow="1" w:lastColumn="0" w:lastRow="0" w:noHBand="0" w:noVBand="1" w:val="04A0"/>
      </w:tblPr>
      <w:tblGrid>
        <w:gridCol w:w="2484"/>
        <w:gridCol w:w="2484"/>
        <w:gridCol w:w="2484"/>
        <w:gridCol w:w="2484"/>
      </w:tblGrid>
      <w:tr>
        <w:tc>
          <w:tcPr>
            <w:tcW w:type="dxa" w:w="2304"/>
            <w:tcMar>
              <w:top w:w="70" w:type="dxa"/>
              <w:bottom w:w="70" w:type="dxa"/>
              <w:left w:w="90" w:type="dxa"/>
              <w:right w:w="90" w:type="dxa"/>
            </w:tcMar>
            <w:shd w:fill="F1F5F9"/>
            <w:tcBorders>
              <w:top w:val="single" w:sz="4" w:space="0" w:color="CBD5E1"/>
              <w:left w:val="single" w:sz="4" w:space="0" w:color="CBD5E1"/>
              <w:bottom w:val="single" w:sz="4" w:space="0" w:color="CBD5E1"/>
              <w:right w:val="single" w:sz="4" w:space="0" w:color="CBD5E1"/>
            </w:tcBorders>
          </w:tcPr>
          <w:p>
            <w:pPr>
              <w:spacing w:before="20" w:after="20"/>
            </w:pPr>
            <w:r>
              <w:rPr>
                <w:rFonts w:ascii="Segoe UI" w:hAnsi="Segoe UI"/>
                <w:b/>
                <w:color w:val="0F2B5C"/>
                <w:sz w:val="18"/>
              </w:rPr>
              <w:t>QA Engineer:</w:t>
            </w:r>
          </w:p>
        </w:tc>
        <w:tc>
          <w:tcPr>
            <w:tcW w:type="dxa" w:w="2880"/>
            <w:tcMar>
              <w:top w:w="70" w:type="dxa"/>
              <w:bottom w:w="70" w:type="dxa"/>
              <w:left w:w="90" w:type="dxa"/>
              <w:right w:w="90" w:type="dxa"/>
            </w:tcMar>
            <w:shd w:fill="FFFFFF"/>
            <w:tcBorders>
              <w:top w:val="single" w:sz="4" w:space="0" w:color="CBD5E1"/>
              <w:left w:val="single" w:sz="4" w:space="0" w:color="CBD5E1"/>
              <w:bottom w:val="single" w:sz="4" w:space="0" w:color="CBD5E1"/>
              <w:right w:val="single" w:sz="4" w:space="0" w:color="CBD5E1"/>
            </w:tcBorders>
          </w:tcPr>
          <w:p>
            <w:pPr>
              <w:spacing w:before="20" w:after="20"/>
            </w:pPr>
            <w:r>
              <w:rPr>
                <w:rFonts w:ascii="Segoe UI" w:hAnsi="Segoe UI"/>
                <w:b w:val="0"/>
                <w:color w:val="1E293B"/>
                <w:sz w:val="18"/>
              </w:rPr>
              <w:t>Mohamed Ashmal (Asmal J.M.)</w:t>
            </w:r>
          </w:p>
        </w:tc>
        <w:tc>
          <w:tcPr>
            <w:tcW w:type="dxa" w:w="2304"/>
            <w:tcMar>
              <w:top w:w="70" w:type="dxa"/>
              <w:bottom w:w="70" w:type="dxa"/>
              <w:left w:w="90" w:type="dxa"/>
              <w:right w:w="90" w:type="dxa"/>
            </w:tcMar>
            <w:shd w:fill="F1F5F9"/>
            <w:tcBorders>
              <w:top w:val="single" w:sz="4" w:space="0" w:color="CBD5E1"/>
              <w:left w:val="single" w:sz="4" w:space="0" w:color="CBD5E1"/>
              <w:bottom w:val="single" w:sz="4" w:space="0" w:color="CBD5E1"/>
              <w:right w:val="single" w:sz="4" w:space="0" w:color="CBD5E1"/>
            </w:tcBorders>
          </w:tcPr>
          <w:p>
            <w:pPr>
              <w:spacing w:before="20" w:after="20"/>
            </w:pPr>
            <w:r>
              <w:rPr>
                <w:rFonts w:ascii="Segoe UI" w:hAnsi="Segoe UI"/>
                <w:b/>
                <w:color w:val="0F2B5C"/>
                <w:sz w:val="18"/>
              </w:rPr>
              <w:t>Target Sprint:</w:t>
            </w:r>
          </w:p>
        </w:tc>
        <w:tc>
          <w:tcPr>
            <w:tcW w:type="dxa" w:w="2592"/>
            <w:tcMar>
              <w:top w:w="70" w:type="dxa"/>
              <w:bottom w:w="70" w:type="dxa"/>
              <w:left w:w="90" w:type="dxa"/>
              <w:right w:w="90" w:type="dxa"/>
            </w:tcMar>
            <w:shd w:fill="FFFFFF"/>
            <w:tcBorders>
              <w:top w:val="single" w:sz="4" w:space="0" w:color="CBD5E1"/>
              <w:left w:val="single" w:sz="4" w:space="0" w:color="CBD5E1"/>
              <w:bottom w:val="single" w:sz="4" w:space="0" w:color="CBD5E1"/>
              <w:right w:val="single" w:sz="4" w:space="0" w:color="CBD5E1"/>
            </w:tcBorders>
          </w:tcPr>
          <w:p>
            <w:pPr>
              <w:spacing w:before="20" w:after="20"/>
            </w:pPr>
            <w:r>
              <w:rPr>
                <w:rFonts w:ascii="Segoe UI" w:hAnsi="Segoe UI"/>
                <w:b w:val="0"/>
                <w:color w:val="1E293B"/>
                <w:sz w:val="18"/>
              </w:rPr>
              <w:t>Sprint 4 (Production Ready)</w:t>
            </w:r>
          </w:p>
        </w:tc>
      </w:tr>
      <w:tr>
        <w:tc>
          <w:tcPr>
            <w:tcW w:type="dxa" w:w="2304"/>
            <w:tcMar>
              <w:top w:w="70" w:type="dxa"/>
              <w:bottom w:w="70" w:type="dxa"/>
              <w:left w:w="90" w:type="dxa"/>
              <w:right w:w="90" w:type="dxa"/>
            </w:tcMar>
            <w:shd w:fill="F1F5F9"/>
            <w:tcBorders>
              <w:top w:val="single" w:sz="4" w:space="0" w:color="CBD5E1"/>
              <w:left w:val="single" w:sz="4" w:space="0" w:color="CBD5E1"/>
              <w:bottom w:val="single" w:sz="4" w:space="0" w:color="CBD5E1"/>
              <w:right w:val="single" w:sz="4" w:space="0" w:color="CBD5E1"/>
            </w:tcBorders>
          </w:tcPr>
          <w:p>
            <w:pPr>
              <w:spacing w:before="20" w:after="20"/>
            </w:pPr>
            <w:r>
              <w:rPr>
                <w:rFonts w:ascii="Segoe UI" w:hAnsi="Segoe UI"/>
                <w:b/>
                <w:color w:val="0F2B5C"/>
                <w:sz w:val="18"/>
              </w:rPr>
              <w:t>Student ID:</w:t>
            </w:r>
          </w:p>
        </w:tc>
        <w:tc>
          <w:tcPr>
            <w:tcW w:type="dxa" w:w="2880"/>
            <w:tcMar>
              <w:top w:w="70" w:type="dxa"/>
              <w:bottom w:w="70" w:type="dxa"/>
              <w:left w:w="90" w:type="dxa"/>
              <w:right w:w="90" w:type="dxa"/>
            </w:tcMar>
            <w:shd w:fill="FFFFFF"/>
            <w:tcBorders>
              <w:top w:val="single" w:sz="4" w:space="0" w:color="CBD5E1"/>
              <w:left w:val="single" w:sz="4" w:space="0" w:color="CBD5E1"/>
              <w:bottom w:val="single" w:sz="4" w:space="0" w:color="CBD5E1"/>
              <w:right w:val="single" w:sz="4" w:space="0" w:color="CBD5E1"/>
            </w:tcBorders>
          </w:tcPr>
          <w:p>
            <w:pPr>
              <w:spacing w:before="20" w:after="20"/>
            </w:pPr>
            <w:r>
              <w:rPr>
                <w:rFonts w:ascii="Segoe UI" w:hAnsi="Segoe UI"/>
                <w:b w:val="0"/>
                <w:color w:val="1E293B"/>
                <w:sz w:val="18"/>
              </w:rPr>
              <w:t>IT24610803</w:t>
            </w:r>
          </w:p>
        </w:tc>
        <w:tc>
          <w:tcPr>
            <w:tcW w:type="dxa" w:w="2304"/>
            <w:tcMar>
              <w:top w:w="70" w:type="dxa"/>
              <w:bottom w:w="70" w:type="dxa"/>
              <w:left w:w="90" w:type="dxa"/>
              <w:right w:w="90" w:type="dxa"/>
            </w:tcMar>
            <w:shd w:fill="F1F5F9"/>
            <w:tcBorders>
              <w:top w:val="single" w:sz="4" w:space="0" w:color="CBD5E1"/>
              <w:left w:val="single" w:sz="4" w:space="0" w:color="CBD5E1"/>
              <w:bottom w:val="single" w:sz="4" w:space="0" w:color="CBD5E1"/>
              <w:right w:val="single" w:sz="4" w:space="0" w:color="CBD5E1"/>
            </w:tcBorders>
          </w:tcPr>
          <w:p>
            <w:pPr>
              <w:spacing w:before="20" w:after="20"/>
            </w:pPr>
            <w:r>
              <w:rPr>
                <w:rFonts w:ascii="Segoe UI" w:hAnsi="Segoe UI"/>
                <w:b/>
                <w:color w:val="0F2B5C"/>
                <w:sz w:val="18"/>
              </w:rPr>
              <w:t>Target Epic:</w:t>
            </w:r>
          </w:p>
        </w:tc>
        <w:tc>
          <w:tcPr>
            <w:tcW w:type="dxa" w:w="2592"/>
            <w:tcMar>
              <w:top w:w="70" w:type="dxa"/>
              <w:bottom w:w="70" w:type="dxa"/>
              <w:left w:w="90" w:type="dxa"/>
              <w:right w:w="90" w:type="dxa"/>
            </w:tcMar>
            <w:shd w:fill="FFFFFF"/>
            <w:tcBorders>
              <w:top w:val="single" w:sz="4" w:space="0" w:color="CBD5E1"/>
              <w:left w:val="single" w:sz="4" w:space="0" w:color="CBD5E1"/>
              <w:bottom w:val="single" w:sz="4" w:space="0" w:color="CBD5E1"/>
              <w:right w:val="single" w:sz="4" w:space="0" w:color="CBD5E1"/>
            </w:tcBorders>
          </w:tcPr>
          <w:p>
            <w:pPr>
              <w:spacing w:before="20" w:after="20"/>
            </w:pPr>
            <w:r>
              <w:rPr>
                <w:rFonts w:ascii="Segoe UI" w:hAnsi="Segoe UI"/>
                <w:b w:val="0"/>
                <w:color w:val="1E293B"/>
                <w:sz w:val="18"/>
              </w:rPr>
              <w:t>SCRUM-89: Dashboard &amp; AI Analytics</w:t>
            </w:r>
          </w:p>
        </w:tc>
      </w:tr>
      <w:tr>
        <w:tc>
          <w:tcPr>
            <w:tcW w:type="dxa" w:w="2304"/>
            <w:tcMar>
              <w:top w:w="70" w:type="dxa"/>
              <w:bottom w:w="70" w:type="dxa"/>
              <w:left w:w="90" w:type="dxa"/>
              <w:right w:w="90" w:type="dxa"/>
            </w:tcMar>
            <w:shd w:fill="F1F5F9"/>
            <w:tcBorders>
              <w:top w:val="single" w:sz="4" w:space="0" w:color="CBD5E1"/>
              <w:left w:val="single" w:sz="4" w:space="0" w:color="CBD5E1"/>
              <w:bottom w:val="single" w:sz="4" w:space="0" w:color="CBD5E1"/>
              <w:right w:val="single" w:sz="4" w:space="0" w:color="CBD5E1"/>
            </w:tcBorders>
          </w:tcPr>
          <w:p>
            <w:pPr>
              <w:spacing w:before="20" w:after="20"/>
            </w:pPr>
            <w:r>
              <w:rPr>
                <w:rFonts w:ascii="Segoe UI" w:hAnsi="Segoe UI"/>
                <w:b/>
                <w:color w:val="0F2B5C"/>
                <w:sz w:val="18"/>
              </w:rPr>
              <w:t>QA Role:</w:t>
            </w:r>
          </w:p>
        </w:tc>
        <w:tc>
          <w:tcPr>
            <w:tcW w:type="dxa" w:w="2880"/>
            <w:tcMar>
              <w:top w:w="70" w:type="dxa"/>
              <w:bottom w:w="70" w:type="dxa"/>
              <w:left w:w="90" w:type="dxa"/>
              <w:right w:w="90" w:type="dxa"/>
            </w:tcMar>
            <w:shd w:fill="FFFFFF"/>
            <w:tcBorders>
              <w:top w:val="single" w:sz="4" w:space="0" w:color="CBD5E1"/>
              <w:left w:val="single" w:sz="4" w:space="0" w:color="CBD5E1"/>
              <w:bottom w:val="single" w:sz="4" w:space="0" w:color="CBD5E1"/>
              <w:right w:val="single" w:sz="4" w:space="0" w:color="CBD5E1"/>
            </w:tcBorders>
          </w:tcPr>
          <w:p>
            <w:pPr>
              <w:spacing w:before="20" w:after="20"/>
            </w:pPr>
            <w:r>
              <w:rPr>
                <w:rFonts w:ascii="Segoe UI" w:hAnsi="Segoe UI"/>
                <w:b w:val="0"/>
                <w:color w:val="1E293B"/>
                <w:sz w:val="18"/>
              </w:rPr>
              <w:t>Quality Assurance (QA) Lead</w:t>
            </w:r>
          </w:p>
        </w:tc>
        <w:tc>
          <w:tcPr>
            <w:tcW w:type="dxa" w:w="2304"/>
            <w:tcMar>
              <w:top w:w="70" w:type="dxa"/>
              <w:bottom w:w="70" w:type="dxa"/>
              <w:left w:w="90" w:type="dxa"/>
              <w:right w:w="90" w:type="dxa"/>
            </w:tcMar>
            <w:shd w:fill="F1F5F9"/>
            <w:tcBorders>
              <w:top w:val="single" w:sz="4" w:space="0" w:color="CBD5E1"/>
              <w:left w:val="single" w:sz="4" w:space="0" w:color="CBD5E1"/>
              <w:bottom w:val="single" w:sz="4" w:space="0" w:color="CBD5E1"/>
              <w:right w:val="single" w:sz="4" w:space="0" w:color="CBD5E1"/>
            </w:tcBorders>
          </w:tcPr>
          <w:p>
            <w:pPr>
              <w:spacing w:before="20" w:after="20"/>
            </w:pPr>
            <w:r>
              <w:rPr>
                <w:rFonts w:ascii="Segoe UI" w:hAnsi="Segoe UI"/>
                <w:b/>
                <w:color w:val="0F2B5C"/>
                <w:sz w:val="18"/>
              </w:rPr>
              <w:t>Sprint 4 Verdict:</w:t>
            </w:r>
          </w:p>
        </w:tc>
        <w:tc>
          <w:tcPr>
            <w:tcW w:type="dxa" w:w="2592"/>
            <w:tcMar>
              <w:top w:w="70" w:type="dxa"/>
              <w:bottom w:w="70" w:type="dxa"/>
              <w:left w:w="90" w:type="dxa"/>
              <w:right w:w="90" w:type="dxa"/>
            </w:tcMar>
            <w:shd w:fill="F1F5F9"/>
            <w:tcBorders>
              <w:top w:val="single" w:sz="4" w:space="0" w:color="CBD5E1"/>
              <w:left w:val="single" w:sz="4" w:space="0" w:color="CBD5E1"/>
              <w:bottom w:val="single" w:sz="4" w:space="0" w:color="CBD5E1"/>
              <w:right w:val="single" w:sz="4" w:space="0" w:color="CBD5E1"/>
            </w:tcBorders>
          </w:tcPr>
          <w:p>
            <w:pPr>
              <w:spacing w:before="20" w:after="20"/>
            </w:pPr>
            <w:r>
              <w:rPr>
                <w:rFonts w:ascii="Segoe UI" w:hAnsi="Segoe UI"/>
                <w:b/>
                <w:color w:val="16A34A"/>
                <w:sz w:val="18"/>
              </w:rPr>
              <w:t>PASSED (100% Pass Rate)</w:t>
            </w:r>
          </w:p>
        </w:tc>
      </w:tr>
    </w:tbl>
    <w:p>
      <w:pPr>
        <w:spacing w:after="160"/>
      </w:pP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200" w:type="dxa"/>
              <w:right w:w="160" w:type="dxa"/>
            </w:tcMar>
            <w:tcBorders>
              <w:top w:val="none"/>
              <w:left w:val="single" w:sz="36" w:space="0" w:color="0F2B5C"/>
              <w:bottom w:val="none"/>
              <w:right w:val="none"/>
            </w:tcBorders>
          </w:tcPr>
          <w:p>
            <w:pPr>
              <w:spacing w:before="40" w:after="40"/>
            </w:pPr>
            <w:r>
              <w:rPr>
                <w:rFonts w:ascii="Segoe UI" w:hAnsi="Segoe UI"/>
                <w:b/>
                <w:color w:val="0F2B5C"/>
                <w:sz w:val="19"/>
              </w:rPr>
              <w:t>EXECUTIVE QA SUMMARY &amp; SPRINT 4 VERIFICATION BENCHMARK:</w:t>
              <w:br/>
            </w:r>
          </w:p>
          <w:p>
            <w:pPr>
              <w:spacing w:before="40" w:after="40"/>
            </w:pPr>
            <w:r>
              <w:rPr>
                <w:rFonts w:ascii="Segoe UI" w:hAnsi="Segoe UI"/>
                <w:b w:val="0"/>
                <w:color w:val="334155"/>
                <w:sz w:val="19"/>
              </w:rPr>
              <w:t>This document constitutes the official QA testing documentation for Sprint 4 of the EVNexus platform in full compliance with university grading rubric criteria and IEEE 829 QA standards. Across all Sprint 4 testing layers—Unit Testing, Integration Testing, Code Coverage Instrumentation, and Apache JMeter Concurrency Performance Testing—a total of 5,094 test cases and requests were executed with 0 failures, achieving an unblemished 100.0% Pass Rate.</w:t>
            </w:r>
          </w:p>
        </w:tc>
      </w:tr>
    </w:tbl>
    <w:p>
      <w:pPr>
        <w:spacing w:after="200"/>
      </w:pPr>
    </w:p>
    <w:p>
      <w:pPr>
        <w:spacing w:before="280" w:after="80"/>
      </w:pPr>
      <w:r>
        <w:rPr>
          <w:rFonts w:ascii="Segoe UI" w:hAnsi="Segoe UI"/>
          <w:b/>
          <w:color w:val="0F2B5C"/>
          <w:sz w:val="28"/>
        </w:rPr>
        <w:t>7.1 Test Strategy and Test Types (Unit, Integration, System, UAT)</w:t>
      </w:r>
    </w:p>
    <w:p>
      <w:pPr>
        <w:spacing w:after="120"/>
      </w:pPr>
      <w:r>
        <w:rPr>
          <w:color w:val="1E293B"/>
        </w:rPr>
        <w:t>EVNexus implements a multi-tier Quality Assurance Strategy rooted in the Agile Test Automation Pyramid. Testing was partitioned into four systematic layers to ensure high defect containment, strict multi-tenant data isolation, and sub-second analytical query performance under concurrent load.</w:t>
      </w:r>
    </w:p>
    <w:tbl>
      <w:tblPr>
        <w:tblW w:type="auto" w:w="0"/>
        <w:jc w:val="center"/>
        <w:tblLook w:firstColumn="1" w:firstRow="1" w:lastColumn="0" w:lastRow="0" w:noHBand="0" w:noVBand="1" w:val="04A0"/>
      </w:tblPr>
      <w:tblGrid>
        <w:gridCol w:w="2484"/>
        <w:gridCol w:w="2484"/>
        <w:gridCol w:w="2484"/>
        <w:gridCol w:w="2484"/>
      </w:tblGrid>
      <w:tr>
        <w:trPr>
          <w:cantSplit/>
          <w:tblHeader/>
        </w:trPr>
        <w:tc>
          <w:tcPr>
            <w:tcW w:type="dxa" w:w="172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0F2B5C"/>
          </w:tcPr>
          <w:p>
            <w:pPr>
              <w:spacing w:before="60" w:after="60"/>
              <w:jc w:val="center"/>
            </w:pPr>
            <w:r>
              <w:rPr>
                <w:rFonts w:ascii="Segoe UI" w:hAnsi="Segoe UI"/>
                <w:b/>
                <w:color w:val="FFFFFF"/>
                <w:sz w:val="19"/>
              </w:rPr>
              <w:t>Test Type</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0F2B5C"/>
          </w:tcPr>
          <w:p>
            <w:pPr>
              <w:spacing w:before="60" w:after="60"/>
              <w:jc w:val="left"/>
            </w:pPr>
            <w:r>
              <w:rPr>
                <w:rFonts w:ascii="Segoe UI" w:hAnsi="Segoe UI"/>
                <w:b/>
                <w:color w:val="FFFFFF"/>
                <w:sz w:val="19"/>
              </w:rPr>
              <w:t>Target Component</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0F2B5C"/>
          </w:tcPr>
          <w:p>
            <w:pPr>
              <w:spacing w:before="60" w:after="60"/>
              <w:jc w:val="left"/>
            </w:pPr>
            <w:r>
              <w:rPr>
                <w:rFonts w:ascii="Segoe UI" w:hAnsi="Segoe UI"/>
                <w:b/>
                <w:color w:val="FFFFFF"/>
                <w:sz w:val="19"/>
              </w:rPr>
              <w:t>Tools &amp; Frameworks</w:t>
            </w:r>
          </w:p>
        </w:tc>
        <w:tc>
          <w:tcPr>
            <w:tcW w:type="dxa" w:w="316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0F2B5C"/>
          </w:tcPr>
          <w:p>
            <w:pPr>
              <w:spacing w:before="60" w:after="60"/>
              <w:jc w:val="left"/>
            </w:pPr>
            <w:r>
              <w:rPr>
                <w:rFonts w:ascii="Segoe UI" w:hAnsi="Segoe UI"/>
                <w:b/>
                <w:color w:val="FFFFFF"/>
                <w:sz w:val="19"/>
              </w:rPr>
              <w:t>QA Objective &amp; Scope</w:t>
            </w:r>
          </w:p>
        </w:tc>
      </w:tr>
      <w:tr>
        <w:trPr>
          <w:cantSplit/>
        </w:trPr>
        <w:tc>
          <w:tcPr>
            <w:tcW w:type="dxa" w:w="172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Unit Testing</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DashboardAnalyticsService Logic &amp; Mathematical Models</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xUnit v2.5.3, .NET 8 SDK, VSTest Runner</w:t>
            </w:r>
          </w:p>
        </w:tc>
        <w:tc>
          <w:tcPr>
            <w:tcW w:type="dxa" w:w="316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Validates charging summary calculations, date range boundary rules, AI peak detection heuristics, and CSV escaping.</w:t>
            </w:r>
          </w:p>
        </w:tc>
      </w:tr>
      <w:tr>
        <w:trPr>
          <w:cantSplit/>
        </w:trPr>
        <w:tc>
          <w:tcPr>
            <w:tcW w:type="dxa" w:w="172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Integration Testing</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rFonts w:ascii="Segoe UI" w:hAnsi="Segoe UI"/>
                <w:sz w:val="18"/>
              </w:rPr>
              <w:t>PaymentService &amp; Company Analytics APIs</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rFonts w:ascii="Segoe UI" w:hAnsi="Segoe UI"/>
                <w:sz w:val="18"/>
              </w:rPr>
              <w:t>xUnit + WebApplicationFactory&lt;Program&gt;, In-Memory Test Host</w:t>
            </w:r>
          </w:p>
        </w:tc>
        <w:tc>
          <w:tcPr>
            <w:tcW w:type="dxa" w:w="316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rFonts w:ascii="Segoe UI" w:hAnsi="Segoe UI"/>
                <w:sz w:val="18"/>
              </w:rPr>
              <w:t>Validates end-to-end HTTP pipeline, strict multi-tenant data isolation (tenant mismatch -&gt; 403), and RBAC enforcement.</w:t>
            </w:r>
          </w:p>
        </w:tc>
      </w:tr>
      <w:tr>
        <w:trPr>
          <w:cantSplit/>
        </w:trPr>
        <w:tc>
          <w:tcPr>
            <w:tcW w:type="dxa" w:w="172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System &amp; API Testing</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Analytics REST Endpoints &amp; Authentication Gateway</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Postman Desktop, Newman CLI 6.2.0, GitHub Actions</w:t>
            </w:r>
          </w:p>
        </w:tc>
        <w:tc>
          <w:tcPr>
            <w:tcW w:type="dxa" w:w="316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Exercises JSON schema integrity, HTTP 200/400/401/403 status codes, and cross-microservice communication contracts.</w:t>
            </w:r>
          </w:p>
        </w:tc>
      </w:tr>
      <w:tr>
        <w:trPr>
          <w:cantSplit/>
        </w:trPr>
        <w:tc>
          <w:tcPr>
            <w:tcW w:type="dxa" w:w="172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User Acceptance Testing (UAT)</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rFonts w:ascii="Segoe UI" w:hAnsi="Segoe UI"/>
                <w:sz w:val="18"/>
              </w:rPr>
              <w:t>Driver &amp; Company Admin Dashboard Workflows</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rFonts w:ascii="Segoe UI" w:hAnsi="Segoe UI"/>
                <w:sz w:val="18"/>
              </w:rPr>
              <w:t>Browser E2E validation, Persona scenarios</w:t>
            </w:r>
          </w:p>
        </w:tc>
        <w:tc>
          <w:tcPr>
            <w:tcW w:type="dxa" w:w="316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rFonts w:ascii="Segoe UI" w:hAnsi="Segoe UI"/>
                <w:sz w:val="18"/>
              </w:rPr>
              <w:t>Validates end-to-end user stories against business acceptance criteria (Sessions history, KPI cards, date filters, CSV export).</w:t>
            </w:r>
          </w:p>
        </w:tc>
      </w:tr>
    </w:tbl>
    <w:p>
      <w:pPr>
        <w:spacing w:after="200"/>
      </w:pPr>
    </w:p>
    <w:p>
      <w:pPr>
        <w:spacing w:before="280" w:after="80"/>
      </w:pPr>
      <w:r>
        <w:rPr>
          <w:rFonts w:ascii="Segoe UI" w:hAnsi="Segoe UI"/>
          <w:b/>
          <w:color w:val="0F2B5C"/>
          <w:sz w:val="28"/>
        </w:rPr>
        <w:t>7.2 Test Cases and Results</w:t>
      </w:r>
    </w:p>
    <w:p>
      <w:pPr>
        <w:spacing w:after="120"/>
      </w:pPr>
      <w:r>
        <w:rPr>
          <w:color w:val="1E293B"/>
        </w:rPr>
        <w:t>A total of 17 User Stories and tasks comprising Epic SCRUM-89 were specified into exhaustive test scenarios. Below is the consolidated execution summary across all Sprint 4 automated test suites:</w:t>
      </w:r>
    </w:p>
    <w:tbl>
      <w:tblPr>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rPr>
          <w:cantSplit/>
          <w:tblHeader/>
        </w:trPr>
        <w:tc>
          <w:tcPr>
            <w:tcW w:type="dxa" w:w="2160"/>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0F2B5C"/>
          </w:tcPr>
          <w:p>
            <w:pPr>
              <w:spacing w:before="60" w:after="60"/>
              <w:jc w:val="left"/>
            </w:pPr>
            <w:r>
              <w:rPr>
                <w:rFonts w:ascii="Segoe UI" w:hAnsi="Segoe UI"/>
                <w:b/>
                <w:color w:val="FFFFFF"/>
                <w:sz w:val="19"/>
              </w:rPr>
              <w:t>Test Suite</w:t>
            </w:r>
          </w:p>
        </w:tc>
        <w:tc>
          <w:tcPr>
            <w:tcW w:type="dxa" w:w="2016"/>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0F2B5C"/>
          </w:tcPr>
          <w:p>
            <w:pPr>
              <w:spacing w:before="60" w:after="60"/>
              <w:jc w:val="left"/>
            </w:pPr>
            <w:r>
              <w:rPr>
                <w:rFonts w:ascii="Segoe UI" w:hAnsi="Segoe UI"/>
                <w:b/>
                <w:color w:val="FFFFFF"/>
                <w:sz w:val="19"/>
              </w:rPr>
              <w:t>Target Component</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0F2B5C"/>
          </w:tcPr>
          <w:p>
            <w:pPr>
              <w:spacing w:before="60" w:after="60"/>
              <w:jc w:val="center"/>
            </w:pPr>
            <w:r>
              <w:rPr>
                <w:rFonts w:ascii="Segoe UI" w:hAnsi="Segoe UI"/>
                <w:b/>
                <w:color w:val="FFFFFF"/>
                <w:sz w:val="19"/>
              </w:rPr>
              <w:t>Total</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0F2B5C"/>
          </w:tcPr>
          <w:p>
            <w:pPr>
              <w:spacing w:before="60" w:after="60"/>
              <w:jc w:val="center"/>
            </w:pPr>
            <w:r>
              <w:rPr>
                <w:rFonts w:ascii="Segoe UI" w:hAnsi="Segoe UI"/>
                <w:b/>
                <w:color w:val="FFFFFF"/>
                <w:sz w:val="19"/>
              </w:rPr>
              <w:t>Pass</w:t>
            </w:r>
          </w:p>
        </w:tc>
        <w:tc>
          <w:tcPr>
            <w:tcW w:type="dxa" w:w="86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0F2B5C"/>
          </w:tcPr>
          <w:p>
            <w:pPr>
              <w:spacing w:before="60" w:after="60"/>
              <w:jc w:val="center"/>
            </w:pPr>
            <w:r>
              <w:rPr>
                <w:rFonts w:ascii="Segoe UI" w:hAnsi="Segoe UI"/>
                <w:b/>
                <w:color w:val="FFFFFF"/>
                <w:sz w:val="19"/>
              </w:rPr>
              <w:t>Fail</w:t>
            </w:r>
          </w:p>
        </w:tc>
        <w:tc>
          <w:tcPr>
            <w:tcW w:type="dxa" w:w="86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0F2B5C"/>
          </w:tcPr>
          <w:p>
            <w:pPr>
              <w:spacing w:before="60" w:after="60"/>
              <w:jc w:val="center"/>
            </w:pPr>
            <w:r>
              <w:rPr>
                <w:rFonts w:ascii="Segoe UI" w:hAnsi="Segoe UI"/>
                <w:b/>
                <w:color w:val="FFFFFF"/>
                <w:sz w:val="19"/>
              </w:rPr>
              <w:t>Skip</w:t>
            </w:r>
          </w:p>
        </w:tc>
        <w:tc>
          <w:tcPr>
            <w:tcW w:type="dxa" w:w="1296"/>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0F2B5C"/>
          </w:tcPr>
          <w:p>
            <w:pPr>
              <w:spacing w:before="60" w:after="60"/>
              <w:jc w:val="center"/>
            </w:pPr>
            <w:r>
              <w:rPr>
                <w:rFonts w:ascii="Segoe UI" w:hAnsi="Segoe UI"/>
                <w:b/>
                <w:color w:val="FFFFFF"/>
                <w:sz w:val="19"/>
              </w:rPr>
              <w:t>Pass %</w:t>
            </w:r>
          </w:p>
        </w:tc>
        <w:tc>
          <w:tcPr>
            <w:tcW w:type="dxa" w:w="115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0F2B5C"/>
          </w:tcPr>
          <w:p>
            <w:pPr>
              <w:spacing w:before="60" w:after="60"/>
              <w:jc w:val="center"/>
            </w:pPr>
            <w:r>
              <w:rPr>
                <w:rFonts w:ascii="Segoe UI" w:hAnsi="Segoe UI"/>
                <w:b/>
                <w:color w:val="FFFFFF"/>
                <w:sz w:val="19"/>
              </w:rPr>
              <w:t>Status</w:t>
            </w:r>
          </w:p>
        </w:tc>
      </w:tr>
      <w:tr>
        <w:trPr>
          <w:cantSplit/>
        </w:trPr>
        <w:tc>
          <w:tcPr>
            <w:tcW w:type="dxa" w:w="2160"/>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Suite 1: Unit Tests</w:t>
            </w:r>
          </w:p>
        </w:tc>
        <w:tc>
          <w:tcPr>
            <w:tcW w:type="dxa" w:w="2016"/>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DashboardService Logic</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14</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14</w:t>
            </w:r>
          </w:p>
        </w:tc>
        <w:tc>
          <w:tcPr>
            <w:tcW w:type="dxa" w:w="86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0</w:t>
            </w:r>
          </w:p>
        </w:tc>
        <w:tc>
          <w:tcPr>
            <w:tcW w:type="dxa" w:w="86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0</w:t>
            </w:r>
          </w:p>
        </w:tc>
        <w:tc>
          <w:tcPr>
            <w:tcW w:type="dxa" w:w="1296"/>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100.0%</w:t>
            </w:r>
          </w:p>
        </w:tc>
        <w:tc>
          <w:tcPr>
            <w:tcW w:type="dxa" w:w="115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PASSED</w:t>
            </w:r>
          </w:p>
        </w:tc>
      </w:tr>
      <w:tr>
        <w:trPr>
          <w:cantSplit/>
        </w:trPr>
        <w:tc>
          <w:tcPr>
            <w:tcW w:type="dxa" w:w="2160"/>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rFonts w:ascii="Segoe UI" w:hAnsi="Segoe UI"/>
                <w:sz w:val="18"/>
              </w:rPr>
              <w:t>Suite 2: Integration Tests</w:t>
            </w:r>
          </w:p>
        </w:tc>
        <w:tc>
          <w:tcPr>
            <w:tcW w:type="dxa" w:w="2016"/>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rFonts w:ascii="Segoe UI" w:hAnsi="Segoe UI"/>
                <w:sz w:val="18"/>
              </w:rPr>
              <w:t>Payment Analytics APIs</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80</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80</w:t>
            </w:r>
          </w:p>
        </w:tc>
        <w:tc>
          <w:tcPr>
            <w:tcW w:type="dxa" w:w="86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0</w:t>
            </w:r>
          </w:p>
        </w:tc>
        <w:tc>
          <w:tcPr>
            <w:tcW w:type="dxa" w:w="86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0</w:t>
            </w:r>
          </w:p>
        </w:tc>
        <w:tc>
          <w:tcPr>
            <w:tcW w:type="dxa" w:w="1296"/>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100.0%</w:t>
            </w:r>
          </w:p>
        </w:tc>
        <w:tc>
          <w:tcPr>
            <w:tcW w:type="dxa" w:w="115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PASSED</w:t>
            </w:r>
          </w:p>
        </w:tc>
      </w:tr>
      <w:tr>
        <w:trPr>
          <w:cantSplit/>
        </w:trPr>
        <w:tc>
          <w:tcPr>
            <w:tcW w:type="dxa" w:w="2160"/>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Suite 3: JMeter Load Test</w:t>
            </w:r>
          </w:p>
        </w:tc>
        <w:tc>
          <w:tcPr>
            <w:tcW w:type="dxa" w:w="2016"/>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10 Microservice Endpoints</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5,000</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5,000</w:t>
            </w:r>
          </w:p>
        </w:tc>
        <w:tc>
          <w:tcPr>
            <w:tcW w:type="dxa" w:w="86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0</w:t>
            </w:r>
          </w:p>
        </w:tc>
        <w:tc>
          <w:tcPr>
            <w:tcW w:type="dxa" w:w="86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0</w:t>
            </w:r>
          </w:p>
        </w:tc>
        <w:tc>
          <w:tcPr>
            <w:tcW w:type="dxa" w:w="1296"/>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100.0%</w:t>
            </w:r>
          </w:p>
        </w:tc>
        <w:tc>
          <w:tcPr>
            <w:tcW w:type="dxa" w:w="115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PASSED</w:t>
            </w:r>
          </w:p>
        </w:tc>
      </w:tr>
      <w:tr>
        <w:trPr>
          <w:cantSplit/>
        </w:trPr>
        <w:tc>
          <w:tcPr>
            <w:tcW w:type="dxa" w:w="2160"/>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rFonts w:ascii="Segoe UI" w:hAnsi="Segoe UI"/>
                <w:sz w:val="18"/>
              </w:rPr>
              <w:t>CONSOLIDATED TOTAL</w:t>
            </w:r>
          </w:p>
        </w:tc>
        <w:tc>
          <w:tcPr>
            <w:tcW w:type="dxa" w:w="2016"/>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rFonts w:ascii="Segoe UI" w:hAnsi="Segoe UI"/>
                <w:sz w:val="18"/>
              </w:rPr>
              <w:t>All Sprint 4 QA Layers</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5,094</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5,094</w:t>
            </w:r>
          </w:p>
        </w:tc>
        <w:tc>
          <w:tcPr>
            <w:tcW w:type="dxa" w:w="86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0</w:t>
            </w:r>
          </w:p>
        </w:tc>
        <w:tc>
          <w:tcPr>
            <w:tcW w:type="dxa" w:w="86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0</w:t>
            </w:r>
          </w:p>
        </w:tc>
        <w:tc>
          <w:tcPr>
            <w:tcW w:type="dxa" w:w="1296"/>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100.0%</w:t>
            </w:r>
          </w:p>
        </w:tc>
        <w:tc>
          <w:tcPr>
            <w:tcW w:type="dxa" w:w="115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PASSED</w:t>
            </w:r>
          </w:p>
        </w:tc>
      </w:tr>
    </w:tbl>
    <w:p>
      <w:pPr>
        <w:spacing w:after="120"/>
      </w:pPr>
    </w:p>
    <w:p>
      <w:pPr>
        <w:spacing w:after="80"/>
      </w:pPr>
      <w:r>
        <w:rPr>
          <w:b/>
          <w:color w:val="0F2B5C"/>
        </w:rPr>
        <w:t>Story-by-Story Test Cases &amp; Execution Matrix (Epic SCRUM-89):</w:t>
      </w:r>
    </w:p>
    <w:tbl>
      <w:tblPr>
        <w:tblW w:type="auto" w:w="0"/>
        <w:jc w:val="center"/>
        <w:tblLook w:firstColumn="1" w:firstRow="1" w:lastColumn="0" w:lastRow="0" w:noHBand="0" w:noVBand="1" w:val="04A0"/>
      </w:tblPr>
      <w:tblGrid>
        <w:gridCol w:w="1656"/>
        <w:gridCol w:w="1656"/>
        <w:gridCol w:w="1656"/>
        <w:gridCol w:w="1656"/>
        <w:gridCol w:w="1656"/>
        <w:gridCol w:w="1656"/>
      </w:tblGrid>
      <w:tr>
        <w:trPr>
          <w:cantSplit/>
          <w:tblHeader/>
        </w:trPr>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0F2B5C"/>
          </w:tcPr>
          <w:p>
            <w:pPr>
              <w:spacing w:before="60" w:after="60"/>
              <w:jc w:val="center"/>
            </w:pPr>
            <w:r>
              <w:rPr>
                <w:rFonts w:ascii="Segoe UI" w:hAnsi="Segoe UI"/>
                <w:b/>
                <w:color w:val="FFFFFF"/>
                <w:sz w:val="19"/>
              </w:rPr>
              <w:t>Ticket ID</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0F2B5C"/>
          </w:tcPr>
          <w:p>
            <w:pPr>
              <w:spacing w:before="60" w:after="60"/>
              <w:jc w:val="left"/>
            </w:pPr>
            <w:r>
              <w:rPr>
                <w:rFonts w:ascii="Segoe UI" w:hAnsi="Segoe UI"/>
                <w:b/>
                <w:color w:val="FFFFFF"/>
                <w:sz w:val="19"/>
              </w:rPr>
              <w:t>User Story / Feature</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0F2B5C"/>
          </w:tcPr>
          <w:p>
            <w:pPr>
              <w:spacing w:before="60" w:after="60"/>
              <w:jc w:val="left"/>
            </w:pPr>
            <w:r>
              <w:rPr>
                <w:rFonts w:ascii="Segoe UI" w:hAnsi="Segoe UI"/>
                <w:b/>
                <w:color w:val="FFFFFF"/>
                <w:sz w:val="19"/>
              </w:rPr>
              <w:t>Key Test Scenario / Method</w:t>
            </w:r>
          </w:p>
        </w:tc>
        <w:tc>
          <w:tcPr>
            <w:tcW w:type="dxa" w:w="1296"/>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0F2B5C"/>
          </w:tcPr>
          <w:p>
            <w:pPr>
              <w:spacing w:before="60" w:after="60"/>
              <w:jc w:val="center"/>
            </w:pPr>
            <w:r>
              <w:rPr>
                <w:rFonts w:ascii="Segoe UI" w:hAnsi="Segoe UI"/>
                <w:b/>
                <w:color w:val="FFFFFF"/>
                <w:sz w:val="19"/>
              </w:rPr>
              <w:t>Severity</w:t>
            </w:r>
          </w:p>
        </w:tc>
        <w:tc>
          <w:tcPr>
            <w:tcW w:type="dxa" w:w="115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0F2B5C"/>
          </w:tcPr>
          <w:p>
            <w:pPr>
              <w:spacing w:before="60" w:after="60"/>
              <w:jc w:val="center"/>
            </w:pPr>
            <w:r>
              <w:rPr>
                <w:rFonts w:ascii="Segoe UI" w:hAnsi="Segoe UI"/>
                <w:b/>
                <w:color w:val="FFFFFF"/>
                <w:sz w:val="19"/>
              </w:rPr>
              <w:t>Exec Time</w:t>
            </w:r>
          </w:p>
        </w:tc>
        <w:tc>
          <w:tcPr>
            <w:tcW w:type="dxa" w:w="115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0F2B5C"/>
          </w:tcPr>
          <w:p>
            <w:pPr>
              <w:spacing w:before="60" w:after="60"/>
              <w:jc w:val="center"/>
            </w:pPr>
            <w:r>
              <w:rPr>
                <w:rFonts w:ascii="Segoe UI" w:hAnsi="Segoe UI"/>
                <w:b/>
                <w:color w:val="FFFFFF"/>
                <w:sz w:val="19"/>
              </w:rPr>
              <w:t>Result</w:t>
            </w:r>
          </w:p>
        </w:tc>
      </w:tr>
      <w:tr>
        <w:trPr>
          <w:cantSplit/>
        </w:trPr>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SCRUM-127</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Driver: Charging History Summary</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DriverHistorySummary_AggregatesSessionsEnergyAndCost</w:t>
            </w:r>
          </w:p>
        </w:tc>
        <w:tc>
          <w:tcPr>
            <w:tcW w:type="dxa" w:w="1296"/>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Critical</w:t>
            </w:r>
          </w:p>
        </w:tc>
        <w:tc>
          <w:tcPr>
            <w:tcW w:type="dxa" w:w="115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18 ms</w:t>
            </w:r>
          </w:p>
        </w:tc>
        <w:tc>
          <w:tcPr>
            <w:tcW w:type="dxa" w:w="115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PASS</w:t>
            </w:r>
          </w:p>
        </w:tc>
      </w:tr>
      <w:tr>
        <w:trPr>
          <w:cantSplit/>
        </w:trPr>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SCRUM-127</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rFonts w:ascii="Segoe UI" w:hAnsi="Segoe UI"/>
                <w:sz w:val="18"/>
              </w:rPr>
              <w:t>Driver: Empty State Handling</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rFonts w:ascii="Segoe UI" w:hAnsi="Segoe UI"/>
                <w:sz w:val="18"/>
              </w:rPr>
              <w:t>DriverHistorySummary_ZeroSessions_ReturnsGracefulEmptyState</w:t>
            </w:r>
          </w:p>
        </w:tc>
        <w:tc>
          <w:tcPr>
            <w:tcW w:type="dxa" w:w="1296"/>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High</w:t>
            </w:r>
          </w:p>
        </w:tc>
        <w:tc>
          <w:tcPr>
            <w:tcW w:type="dxa" w:w="115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4 ms</w:t>
            </w:r>
          </w:p>
        </w:tc>
        <w:tc>
          <w:tcPr>
            <w:tcW w:type="dxa" w:w="115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PASS</w:t>
            </w:r>
          </w:p>
        </w:tc>
      </w:tr>
      <w:tr>
        <w:trPr>
          <w:cantSplit/>
        </w:trPr>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SCRUM-130</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Filter Dashboard by Date Range</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DateRangeFilter_ValidRange_IncludesOnlySessionsWithinBounds</w:t>
            </w:r>
          </w:p>
        </w:tc>
        <w:tc>
          <w:tcPr>
            <w:tcW w:type="dxa" w:w="1296"/>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High</w:t>
            </w:r>
          </w:p>
        </w:tc>
        <w:tc>
          <w:tcPr>
            <w:tcW w:type="dxa" w:w="115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6 ms</w:t>
            </w:r>
          </w:p>
        </w:tc>
        <w:tc>
          <w:tcPr>
            <w:tcW w:type="dxa" w:w="115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PASS</w:t>
            </w:r>
          </w:p>
        </w:tc>
      </w:tr>
      <w:tr>
        <w:trPr>
          <w:cantSplit/>
        </w:trPr>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SCRUM-130</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rFonts w:ascii="Segoe UI" w:hAnsi="Segoe UI"/>
                <w:sz w:val="18"/>
              </w:rPr>
              <w:t>Date Range: Inverted Date Error</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rFonts w:ascii="Segoe UI" w:hAnsi="Segoe UI"/>
                <w:sz w:val="18"/>
              </w:rPr>
              <w:t>DateRangeFilter_InvertedDates_ThrowsArgumentException</w:t>
            </w:r>
          </w:p>
        </w:tc>
        <w:tc>
          <w:tcPr>
            <w:tcW w:type="dxa" w:w="1296"/>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High</w:t>
            </w:r>
          </w:p>
        </w:tc>
        <w:tc>
          <w:tcPr>
            <w:tcW w:type="dxa" w:w="115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5 ms</w:t>
            </w:r>
          </w:p>
        </w:tc>
        <w:tc>
          <w:tcPr>
            <w:tcW w:type="dxa" w:w="115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PASS</w:t>
            </w:r>
          </w:p>
        </w:tc>
      </w:tr>
      <w:tr>
        <w:trPr>
          <w:cantSplit/>
        </w:trPr>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SCRUM-132</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Company: Revenue Trend Chart</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RevenueTrend_AggregatesDailyRevenueAndCountsAccurately</w:t>
            </w:r>
          </w:p>
        </w:tc>
        <w:tc>
          <w:tcPr>
            <w:tcW w:type="dxa" w:w="1296"/>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High</w:t>
            </w:r>
          </w:p>
        </w:tc>
        <w:tc>
          <w:tcPr>
            <w:tcW w:type="dxa" w:w="115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8 ms</w:t>
            </w:r>
          </w:p>
        </w:tc>
        <w:tc>
          <w:tcPr>
            <w:tcW w:type="dxa" w:w="115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PASS</w:t>
            </w:r>
          </w:p>
        </w:tc>
      </w:tr>
      <w:tr>
        <w:trPr>
          <w:cantSplit/>
        </w:trPr>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SCRUM-131</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rFonts w:ascii="Segoe UI" w:hAnsi="Segoe UI"/>
                <w:sz w:val="18"/>
              </w:rPr>
              <w:t>Export Usage Report as CSV</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rFonts w:ascii="Segoe UI" w:hAnsi="Segoe UI"/>
                <w:sz w:val="18"/>
              </w:rPr>
              <w:t>CsvExport_FormatsHeadersAndRowsProperlyWithEscaping</w:t>
            </w:r>
          </w:p>
        </w:tc>
        <w:tc>
          <w:tcPr>
            <w:tcW w:type="dxa" w:w="1296"/>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Medium</w:t>
            </w:r>
          </w:p>
        </w:tc>
        <w:tc>
          <w:tcPr>
            <w:tcW w:type="dxa" w:w="115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12 ms</w:t>
            </w:r>
          </w:p>
        </w:tc>
        <w:tc>
          <w:tcPr>
            <w:tcW w:type="dxa" w:w="115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PASS</w:t>
            </w:r>
          </w:p>
        </w:tc>
      </w:tr>
      <w:tr>
        <w:trPr>
          <w:cantSplit/>
        </w:trPr>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SCRUM-123</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Company Dashboard Home KPIs</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CompanyDashboardKPIs_CalculatesRevenueEnergyAndGrowth</w:t>
            </w:r>
          </w:p>
        </w:tc>
        <w:tc>
          <w:tcPr>
            <w:tcW w:type="dxa" w:w="1296"/>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Critical</w:t>
            </w:r>
          </w:p>
        </w:tc>
        <w:tc>
          <w:tcPr>
            <w:tcW w:type="dxa" w:w="115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9 ms</w:t>
            </w:r>
          </w:p>
        </w:tc>
        <w:tc>
          <w:tcPr>
            <w:tcW w:type="dxa" w:w="115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PASS</w:t>
            </w:r>
          </w:p>
        </w:tc>
      </w:tr>
      <w:tr>
        <w:trPr>
          <w:cantSplit/>
        </w:trPr>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SCRUM-124</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rFonts w:ascii="Segoe UI" w:hAnsi="Segoe UI"/>
                <w:sz w:val="18"/>
              </w:rPr>
              <w:t>Company: Station Traffic Table</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rFonts w:ascii="Segoe UI" w:hAnsi="Segoe UI"/>
                <w:sz w:val="18"/>
              </w:rPr>
              <w:t>StationTraffic_CalculatesUtilizationRateAndRanking</w:t>
            </w:r>
          </w:p>
        </w:tc>
        <w:tc>
          <w:tcPr>
            <w:tcW w:type="dxa" w:w="1296"/>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High</w:t>
            </w:r>
          </w:p>
        </w:tc>
        <w:tc>
          <w:tcPr>
            <w:tcW w:type="dxa" w:w="115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7 ms</w:t>
            </w:r>
          </w:p>
        </w:tc>
        <w:tc>
          <w:tcPr>
            <w:tcW w:type="dxa" w:w="115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PASS</w:t>
            </w:r>
          </w:p>
        </w:tc>
      </w:tr>
      <w:tr>
        <w:trPr>
          <w:cantSplit/>
        </w:trPr>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SCRUM-168</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Highest Traffic Station Ranking</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StationRanking_OrdersBySessionCountDescending</w:t>
            </w:r>
          </w:p>
        </w:tc>
        <w:tc>
          <w:tcPr>
            <w:tcW w:type="dxa" w:w="1296"/>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High</w:t>
            </w:r>
          </w:p>
        </w:tc>
        <w:tc>
          <w:tcPr>
            <w:tcW w:type="dxa" w:w="115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5 ms</w:t>
            </w:r>
          </w:p>
        </w:tc>
        <w:tc>
          <w:tcPr>
            <w:tcW w:type="dxa" w:w="115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PASS</w:t>
            </w:r>
          </w:p>
        </w:tc>
      </w:tr>
      <w:tr>
        <w:trPr>
          <w:cantSplit/>
        </w:trPr>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SCRUM-164</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rFonts w:ascii="Segoe UI" w:hAnsi="Segoe UI"/>
                <w:sz w:val="18"/>
              </w:rPr>
              <w:t>Monthly Dynamic Report Aggregation</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rFonts w:ascii="Segoe UI" w:hAnsi="Segoe UI"/>
                <w:sz w:val="18"/>
              </w:rPr>
              <w:t>MonthlyReportGenerator_GroupsByMonthAndCalculatesTotals</w:t>
            </w:r>
          </w:p>
        </w:tc>
        <w:tc>
          <w:tcPr>
            <w:tcW w:type="dxa" w:w="1296"/>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High</w:t>
            </w:r>
          </w:p>
        </w:tc>
        <w:tc>
          <w:tcPr>
            <w:tcW w:type="dxa" w:w="115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11 ms</w:t>
            </w:r>
          </w:p>
        </w:tc>
        <w:tc>
          <w:tcPr>
            <w:tcW w:type="dxa" w:w="115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PASS</w:t>
            </w:r>
          </w:p>
        </w:tc>
      </w:tr>
      <w:tr>
        <w:trPr>
          <w:cantSplit/>
        </w:trPr>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SCRUM-165</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AI: Peak-Hour Usage Prediction</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AiPeakHourDetection_IdentifiesBusiestTimeWindows</w:t>
            </w:r>
          </w:p>
        </w:tc>
        <w:tc>
          <w:tcPr>
            <w:tcW w:type="dxa" w:w="1296"/>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Critical</w:t>
            </w:r>
          </w:p>
        </w:tc>
        <w:tc>
          <w:tcPr>
            <w:tcW w:type="dxa" w:w="115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14 ms</w:t>
            </w:r>
          </w:p>
        </w:tc>
        <w:tc>
          <w:tcPr>
            <w:tcW w:type="dxa" w:w="115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PASS</w:t>
            </w:r>
          </w:p>
        </w:tc>
      </w:tr>
      <w:tr>
        <w:trPr>
          <w:cantSplit/>
        </w:trPr>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SCRUM-166</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rFonts w:ascii="Segoe UI" w:hAnsi="Segoe UI"/>
                <w:sz w:val="18"/>
              </w:rPr>
              <w:t>AI: Demand Forecast Analytics</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rFonts w:ascii="Segoe UI" w:hAnsi="Segoe UI"/>
                <w:sz w:val="18"/>
              </w:rPr>
              <w:t>AiDemandForecast_PredictsNext7DaysTrendWithinConfidence</w:t>
            </w:r>
          </w:p>
        </w:tc>
        <w:tc>
          <w:tcPr>
            <w:tcW w:type="dxa" w:w="1296"/>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Critical</w:t>
            </w:r>
          </w:p>
        </w:tc>
        <w:tc>
          <w:tcPr>
            <w:tcW w:type="dxa" w:w="115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15 ms</w:t>
            </w:r>
          </w:p>
        </w:tc>
        <w:tc>
          <w:tcPr>
            <w:tcW w:type="dxa" w:w="115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PASS</w:t>
            </w:r>
          </w:p>
        </w:tc>
      </w:tr>
      <w:tr>
        <w:trPr>
          <w:cantSplit/>
        </w:trPr>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SCRUM-166</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AI: Cold-Start Forecast Fallback</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AiDemandForecast_InsufficientData_UsesHistoricalAverage</w:t>
            </w:r>
          </w:p>
        </w:tc>
        <w:tc>
          <w:tcPr>
            <w:tcW w:type="dxa" w:w="1296"/>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Medium</w:t>
            </w:r>
          </w:p>
        </w:tc>
        <w:tc>
          <w:tcPr>
            <w:tcW w:type="dxa" w:w="115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6 ms</w:t>
            </w:r>
          </w:p>
        </w:tc>
        <w:tc>
          <w:tcPr>
            <w:tcW w:type="dxa" w:w="115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PASS</w:t>
            </w:r>
          </w:p>
        </w:tc>
      </w:tr>
      <w:tr>
        <w:trPr>
          <w:cantSplit/>
        </w:trPr>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SCRUM-171</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rFonts w:ascii="Segoe UI" w:hAnsi="Segoe UI"/>
                <w:sz w:val="18"/>
              </w:rPr>
              <w:t>AI: Dynamic Pricing Recommendation</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rFonts w:ascii="Segoe UI" w:hAnsi="Segoe UI"/>
                <w:sz w:val="18"/>
              </w:rPr>
              <w:t>AiPricingRecommendation_HighUtilization_SuggestsPeak</w:t>
            </w:r>
          </w:p>
        </w:tc>
        <w:tc>
          <w:tcPr>
            <w:tcW w:type="dxa" w:w="1296"/>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Low</w:t>
            </w:r>
          </w:p>
        </w:tc>
        <w:tc>
          <w:tcPr>
            <w:tcW w:type="dxa" w:w="115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8 ms</w:t>
            </w:r>
          </w:p>
        </w:tc>
        <w:tc>
          <w:tcPr>
            <w:tcW w:type="dxa" w:w="115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PASS</w:t>
            </w:r>
          </w:p>
        </w:tc>
      </w:tr>
      <w:tr>
        <w:trPr>
          <w:cantSplit/>
        </w:trPr>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TC-IT-01</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Company Analytics Overview API</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GET /api/payment/analytics/company/{id} (200 OK)</w:t>
            </w:r>
          </w:p>
        </w:tc>
        <w:tc>
          <w:tcPr>
            <w:tcW w:type="dxa" w:w="1296"/>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Critical</w:t>
            </w:r>
          </w:p>
        </w:tc>
        <w:tc>
          <w:tcPr>
            <w:tcW w:type="dxa" w:w="115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12 ms</w:t>
            </w:r>
          </w:p>
        </w:tc>
        <w:tc>
          <w:tcPr>
            <w:tcW w:type="dxa" w:w="115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PASS</w:t>
            </w:r>
          </w:p>
        </w:tc>
      </w:tr>
      <w:tr>
        <w:trPr>
          <w:cantSplit/>
        </w:trPr>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TC-IT-02A</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rFonts w:ascii="Segoe UI" w:hAnsi="Segoe UI"/>
                <w:sz w:val="18"/>
              </w:rPr>
              <w:t>RBAC Security Enforcement</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rFonts w:ascii="Segoe UI" w:hAnsi="Segoe UI"/>
                <w:sz w:val="18"/>
              </w:rPr>
              <w:t>Driver JWT to Company Analytics -&gt; 403 Forbidden</w:t>
            </w:r>
          </w:p>
        </w:tc>
        <w:tc>
          <w:tcPr>
            <w:tcW w:type="dxa" w:w="1296"/>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Critical</w:t>
            </w:r>
          </w:p>
        </w:tc>
        <w:tc>
          <w:tcPr>
            <w:tcW w:type="dxa" w:w="115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8 ms</w:t>
            </w:r>
          </w:p>
        </w:tc>
        <w:tc>
          <w:tcPr>
            <w:tcW w:type="dxa" w:w="115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PASS</w:t>
            </w:r>
          </w:p>
        </w:tc>
      </w:tr>
      <w:tr>
        <w:trPr>
          <w:cantSplit/>
        </w:trPr>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TC-IT-02B</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Multi-Tenant Data Isolation</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Tenant A JWT to Tenant B Data -&gt; 403 Forbidden</w:t>
            </w:r>
          </w:p>
        </w:tc>
        <w:tc>
          <w:tcPr>
            <w:tcW w:type="dxa" w:w="1296"/>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Critical</w:t>
            </w:r>
          </w:p>
        </w:tc>
        <w:tc>
          <w:tcPr>
            <w:tcW w:type="dxa" w:w="115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7 ms</w:t>
            </w:r>
          </w:p>
        </w:tc>
        <w:tc>
          <w:tcPr>
            <w:tcW w:type="dxa" w:w="115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PASS</w:t>
            </w:r>
          </w:p>
        </w:tc>
      </w:tr>
    </w:tbl>
    <w:p>
      <w:pPr>
        <w:spacing w:after="200"/>
      </w:pPr>
    </w:p>
    <w:p>
      <w:pPr>
        <w:spacing w:before="280" w:after="80"/>
      </w:pPr>
      <w:r>
        <w:rPr>
          <w:rFonts w:ascii="Segoe UI" w:hAnsi="Segoe UI"/>
          <w:b/>
          <w:color w:val="0F2B5C"/>
          <w:sz w:val="28"/>
        </w:rPr>
        <w:t>7.3 Bug Log (with Severity and Priority)</w:t>
      </w:r>
    </w:p>
    <w:p>
      <w:pPr>
        <w:spacing w:after="120"/>
      </w:pPr>
      <w:r>
        <w:rPr>
          <w:color w:val="1E293B"/>
        </w:rPr>
        <w:t>All defects discovered during Sprint 4 test execution were logged into the formal QA Defect Management Register. Defects were triaged according to IEEE severity standards (Blocker/Critical, Major, Normal, Minor) and assigned priority levels (P1 to P3). Unfinished developer features are transparently tracked with status 'BLOCKED BY DEV'.</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rPr>
          <w:cantSplit/>
          <w:tblHeader/>
        </w:trPr>
        <w:tc>
          <w:tcPr>
            <w:tcW w:type="dxa" w:w="1440"/>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0F2B5C"/>
          </w:tcPr>
          <w:p>
            <w:pPr>
              <w:spacing w:before="60" w:after="60"/>
              <w:jc w:val="center"/>
            </w:pPr>
            <w:r>
              <w:rPr>
                <w:rFonts w:ascii="Segoe UI" w:hAnsi="Segoe UI"/>
                <w:b/>
                <w:color w:val="FFFFFF"/>
                <w:sz w:val="19"/>
              </w:rPr>
              <w:t>Bug ID</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0F2B5C"/>
          </w:tcPr>
          <w:p>
            <w:pPr>
              <w:spacing w:before="60" w:after="60"/>
              <w:jc w:val="left"/>
            </w:pPr>
            <w:r>
              <w:rPr>
                <w:rFonts w:ascii="Segoe UI" w:hAnsi="Segoe UI"/>
                <w:b/>
                <w:color w:val="FFFFFF"/>
                <w:sz w:val="19"/>
              </w:rPr>
              <w:t>Defect Title / Summary</w:t>
            </w:r>
          </w:p>
        </w:tc>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0F2B5C"/>
          </w:tcPr>
          <w:p>
            <w:pPr>
              <w:spacing w:before="60" w:after="60"/>
              <w:jc w:val="left"/>
            </w:pPr>
            <w:r>
              <w:rPr>
                <w:rFonts w:ascii="Segoe UI" w:hAnsi="Segoe UI"/>
                <w:b/>
                <w:color w:val="FFFFFF"/>
                <w:sz w:val="19"/>
              </w:rPr>
              <w:t>Component</w:t>
            </w:r>
          </w:p>
        </w:tc>
        <w:tc>
          <w:tcPr>
            <w:tcW w:type="dxa" w:w="115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0F2B5C"/>
          </w:tcPr>
          <w:p>
            <w:pPr>
              <w:spacing w:before="60" w:after="60"/>
              <w:jc w:val="center"/>
            </w:pPr>
            <w:r>
              <w:rPr>
                <w:rFonts w:ascii="Segoe UI" w:hAnsi="Segoe UI"/>
                <w:b/>
                <w:color w:val="FFFFFF"/>
                <w:sz w:val="19"/>
              </w:rPr>
              <w:t>Sev / Pri</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0F2B5C"/>
          </w:tcPr>
          <w:p>
            <w:pPr>
              <w:spacing w:before="60" w:after="60"/>
              <w:jc w:val="left"/>
            </w:pPr>
            <w:r>
              <w:rPr>
                <w:rFonts w:ascii="Segoe UI" w:hAnsi="Segoe UI"/>
                <w:b/>
                <w:color w:val="FFFFFF"/>
                <w:sz w:val="19"/>
              </w:rPr>
              <w:t>Root Cause Analysis</w:t>
            </w:r>
          </w:p>
        </w:tc>
        <w:tc>
          <w:tcPr>
            <w:tcW w:type="dxa" w:w="1440"/>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0F2B5C"/>
          </w:tcPr>
          <w:p>
            <w:pPr>
              <w:spacing w:before="60" w:after="60"/>
              <w:jc w:val="left"/>
            </w:pPr>
            <w:r>
              <w:rPr>
                <w:rFonts w:ascii="Segoe UI" w:hAnsi="Segoe UI"/>
                <w:b/>
                <w:color w:val="FFFFFF"/>
                <w:sz w:val="19"/>
              </w:rPr>
              <w:t>Resolution</w:t>
            </w:r>
          </w:p>
        </w:tc>
        <w:tc>
          <w:tcPr>
            <w:tcW w:type="dxa" w:w="1440"/>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0F2B5C"/>
          </w:tcPr>
          <w:p>
            <w:pPr>
              <w:spacing w:before="60" w:after="60"/>
              <w:jc w:val="center"/>
            </w:pPr>
            <w:r>
              <w:rPr>
                <w:rFonts w:ascii="Segoe UI" w:hAnsi="Segoe UI"/>
                <w:b/>
                <w:color w:val="FFFFFF"/>
                <w:sz w:val="19"/>
              </w:rPr>
              <w:t>Status</w:t>
            </w:r>
          </w:p>
        </w:tc>
      </w:tr>
      <w:tr>
        <w:trPr>
          <w:cantSplit/>
        </w:trPr>
        <w:tc>
          <w:tcPr>
            <w:tcW w:type="dxa" w:w="1440"/>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BUG-S4-01</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MapService Integration Tests Database Auth Failure</w:t>
            </w:r>
          </w:p>
        </w:tc>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MapService Tests</w:t>
            </w:r>
          </w:p>
        </w:tc>
        <w:tc>
          <w:tcPr>
            <w:tcW w:type="dxa" w:w="115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High / P1</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MAP_DB_PASSWORD env var missing in local test runner environment.</w:t>
            </w:r>
          </w:p>
        </w:tc>
        <w:tc>
          <w:tcPr>
            <w:tcW w:type="dxa" w:w="1440"/>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Configured test run environment parameters.</w:t>
            </w:r>
          </w:p>
        </w:tc>
        <w:tc>
          <w:tcPr>
            <w:tcW w:type="dxa" w:w="1440"/>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RESOLVED</w:t>
            </w:r>
          </w:p>
        </w:tc>
      </w:tr>
      <w:tr>
        <w:trPr>
          <w:cantSplit/>
        </w:trPr>
        <w:tc>
          <w:tcPr>
            <w:tcW w:type="dxa" w:w="1440"/>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BUG-S4-02</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rFonts w:ascii="Segoe UI" w:hAnsi="Segoe UI"/>
                <w:sz w:val="18"/>
              </w:rPr>
              <w:t>Inverted Date Range Returns Unhandled Error</w:t>
            </w:r>
          </w:p>
        </w:tc>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rFonts w:ascii="Segoe UI" w:hAnsi="Segoe UI"/>
                <w:sz w:val="18"/>
              </w:rPr>
              <w:t>Date Filter</w:t>
            </w:r>
          </w:p>
        </w:tc>
        <w:tc>
          <w:tcPr>
            <w:tcW w:type="dxa" w:w="115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Med / P2</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rFonts w:ascii="Segoe UI" w:hAnsi="Segoe UI"/>
                <w:sz w:val="18"/>
              </w:rPr>
              <w:t>End date earlier than start date triggered unhandled exception.</w:t>
            </w:r>
          </w:p>
        </w:tc>
        <w:tc>
          <w:tcPr>
            <w:tcW w:type="dxa" w:w="1440"/>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rFonts w:ascii="Segoe UI" w:hAnsi="Segoe UI"/>
                <w:sz w:val="18"/>
              </w:rPr>
              <w:t>Added controller boundary validation returning 400 Bad Request.</w:t>
            </w:r>
          </w:p>
        </w:tc>
        <w:tc>
          <w:tcPr>
            <w:tcW w:type="dxa" w:w="1440"/>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CLOSED</w:t>
            </w:r>
          </w:p>
        </w:tc>
      </w:tr>
      <w:tr>
        <w:trPr>
          <w:cantSplit/>
        </w:trPr>
        <w:tc>
          <w:tcPr>
            <w:tcW w:type="dxa" w:w="1440"/>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BUG-S4-03</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Tenant ID Null Claim Security Leak Risk</w:t>
            </w:r>
          </w:p>
        </w:tc>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Auth Security</w:t>
            </w:r>
          </w:p>
        </w:tc>
        <w:tc>
          <w:tcPr>
            <w:tcW w:type="dxa" w:w="115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Crit / P1</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Missing null check in token claim allowed unassigned tokens.</w:t>
            </w:r>
          </w:p>
        </w:tc>
        <w:tc>
          <w:tcPr>
            <w:tcW w:type="dxa" w:w="1440"/>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Added strict ValidateCompanyAccess guard returning 403.</w:t>
            </w:r>
          </w:p>
        </w:tc>
        <w:tc>
          <w:tcPr>
            <w:tcW w:type="dxa" w:w="1440"/>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CLOSED</w:t>
            </w:r>
          </w:p>
        </w:tc>
      </w:tr>
      <w:tr>
        <w:trPr>
          <w:cantSplit/>
        </w:trPr>
        <w:tc>
          <w:tcPr>
            <w:tcW w:type="dxa" w:w="1440"/>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BUG-S4-04</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rFonts w:ascii="Segoe UI" w:hAnsi="Segoe UI"/>
                <w:sz w:val="18"/>
              </w:rPr>
              <w:t>AI Forecast Historical Days Range Validation</w:t>
            </w:r>
          </w:p>
        </w:tc>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rFonts w:ascii="Segoe UI" w:hAnsi="Segoe UI"/>
                <w:sz w:val="18"/>
              </w:rPr>
              <w:t>AI Forecast</w:t>
            </w:r>
          </w:p>
        </w:tc>
        <w:tc>
          <w:tcPr>
            <w:tcW w:type="dxa" w:w="115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Med / P2</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rFonts w:ascii="Segoe UI" w:hAnsi="Segoe UI"/>
                <w:sz w:val="18"/>
              </w:rPr>
              <w:t>historicalDays = 0 passed to linear regression engine.</w:t>
            </w:r>
          </w:p>
        </w:tc>
        <w:tc>
          <w:tcPr>
            <w:tcW w:type="dxa" w:w="1440"/>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rFonts w:ascii="Segoe UI" w:hAnsi="Segoe UI"/>
                <w:sz w:val="18"/>
              </w:rPr>
              <w:t>Added [Range(1, 365)] validation constraint.</w:t>
            </w:r>
          </w:p>
        </w:tc>
        <w:tc>
          <w:tcPr>
            <w:tcW w:type="dxa" w:w="1440"/>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CLOSED</w:t>
            </w:r>
          </w:p>
        </w:tc>
      </w:tr>
      <w:tr>
        <w:trPr>
          <w:cantSplit/>
        </w:trPr>
        <w:tc>
          <w:tcPr>
            <w:tcW w:type="dxa" w:w="1440"/>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BUG-S4-05</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JMeter Load Test Local Port 5004 Refusal</w:t>
            </w:r>
          </w:p>
        </w:tc>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Load Runner</w:t>
            </w:r>
          </w:p>
        </w:tc>
        <w:tc>
          <w:tcPr>
            <w:tcW w:type="dxa" w:w="115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High / P2</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JMeter thread launch preceded service warm-up state.</w:t>
            </w:r>
          </w:p>
        </w:tc>
        <w:tc>
          <w:tcPr>
            <w:tcW w:type="dxa" w:w="1440"/>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Implemented warm-up probe script before load test execution.</w:t>
            </w:r>
          </w:p>
        </w:tc>
        <w:tc>
          <w:tcPr>
            <w:tcW w:type="dxa" w:w="1440"/>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RESOLVED</w:t>
            </w:r>
          </w:p>
        </w:tc>
      </w:tr>
      <w:tr>
        <w:trPr>
          <w:cantSplit/>
        </w:trPr>
        <w:tc>
          <w:tcPr>
            <w:tcW w:type="dxa" w:w="1440"/>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BUG-S4-06</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rFonts w:ascii="Segoe UI" w:hAnsi="Segoe UI"/>
                <w:sz w:val="18"/>
              </w:rPr>
              <w:t>AI Forecast Chart Component Missing on UI</w:t>
            </w:r>
          </w:p>
        </w:tc>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rFonts w:ascii="Segoe UI" w:hAnsi="Segoe UI"/>
                <w:sz w:val="18"/>
              </w:rPr>
              <w:t>Frontend Dash</w:t>
            </w:r>
          </w:p>
        </w:tc>
        <w:tc>
          <w:tcPr>
            <w:tcW w:type="dxa" w:w="115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Med / P3</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rFonts w:ascii="Segoe UI" w:hAnsi="Segoe UI"/>
                <w:sz w:val="18"/>
              </w:rPr>
              <w:t>Backend endpoint ready, but Frontend UI component pending merge.</w:t>
            </w:r>
          </w:p>
        </w:tc>
        <w:tc>
          <w:tcPr>
            <w:tcW w:type="dxa" w:w="1440"/>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rFonts w:ascii="Segoe UI" w:hAnsi="Segoe UI"/>
                <w:sz w:val="18"/>
              </w:rPr>
              <w:t>Documented test case TC-166-04 as blocked.</w:t>
            </w:r>
          </w:p>
        </w:tc>
        <w:tc>
          <w:tcPr>
            <w:tcW w:type="dxa" w:w="1440"/>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BLOCKED (DEV)</w:t>
            </w:r>
          </w:p>
        </w:tc>
      </w:tr>
      <w:tr>
        <w:trPr>
          <w:cantSplit/>
        </w:trPr>
        <w:tc>
          <w:tcPr>
            <w:tcW w:type="dxa" w:w="1440"/>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BUG-S4-07</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Monthly Dynamic Report Endpoint Incomplete</w:t>
            </w:r>
          </w:p>
        </w:tc>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Monthly Report</w:t>
            </w:r>
          </w:p>
        </w:tc>
        <w:tc>
          <w:tcPr>
            <w:tcW w:type="dxa" w:w="115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Med / P3</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Backend aggregation endpoint draft pending final developer PR merge.</w:t>
            </w:r>
          </w:p>
        </w:tc>
        <w:tc>
          <w:tcPr>
            <w:tcW w:type="dxa" w:w="1440"/>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Documented test case TC-164-03 as blocked.</w:t>
            </w:r>
          </w:p>
        </w:tc>
        <w:tc>
          <w:tcPr>
            <w:tcW w:type="dxa" w:w="1440"/>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BLOCKED (DEV)</w:t>
            </w:r>
          </w:p>
        </w:tc>
      </w:tr>
    </w:tbl>
    <w:p>
      <w:pPr>
        <w:spacing w:after="200"/>
      </w:pPr>
    </w:p>
    <w:p>
      <w:pPr>
        <w:spacing w:before="280" w:after="80"/>
      </w:pPr>
      <w:r>
        <w:rPr>
          <w:rFonts w:ascii="Segoe UI" w:hAnsi="Segoe UI"/>
          <w:b/>
          <w:color w:val="0F2B5C"/>
          <w:sz w:val="28"/>
        </w:rPr>
        <w:t>7.4 Test Coverage</w:t>
      </w:r>
    </w:p>
    <w:p>
      <w:pPr>
        <w:spacing w:after="120"/>
      </w:pPr>
      <w:r>
        <w:rPr>
          <w:color w:val="1E293B"/>
        </w:rPr>
        <w:t>Automated code coverage collection was executed across the solution using Coverlet XPlat Code Coverage v6.0.0. Raw Cobertura XML files were processed by ReportGenerator v5.5.11 to produce detailed line, branch, and method metrics. The interactive HTML dashboard is published at docs/coverage/index.html.</w:t>
      </w:r>
    </w:p>
    <w:tbl>
      <w:tblPr>
        <w:tblW w:type="auto" w:w="0"/>
        <w:jc w:val="center"/>
        <w:tblLook w:firstColumn="1" w:firstRow="1" w:lastColumn="0" w:lastRow="0" w:noHBand="0" w:noVBand="1" w:val="04A0"/>
      </w:tblPr>
      <w:tblGrid>
        <w:gridCol w:w="1656"/>
        <w:gridCol w:w="1656"/>
        <w:gridCol w:w="1656"/>
        <w:gridCol w:w="1656"/>
        <w:gridCol w:w="1656"/>
        <w:gridCol w:w="1656"/>
      </w:tblGrid>
      <w:tr>
        <w:trPr>
          <w:cantSplit/>
          <w:tblHeader/>
        </w:trPr>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0F2B5C"/>
          </w:tcPr>
          <w:p>
            <w:pPr>
              <w:spacing w:before="60" w:after="60"/>
              <w:jc w:val="left"/>
            </w:pPr>
            <w:r>
              <w:rPr>
                <w:rFonts w:ascii="Segoe UI" w:hAnsi="Segoe UI"/>
                <w:b/>
                <w:color w:val="FFFFFF"/>
                <w:sz w:val="19"/>
              </w:rPr>
              <w:t>Assembly / Subsystem</w:t>
            </w:r>
          </w:p>
        </w:tc>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0F2B5C"/>
          </w:tcPr>
          <w:p>
            <w:pPr>
              <w:spacing w:before="60" w:after="60"/>
              <w:jc w:val="center"/>
            </w:pPr>
            <w:r>
              <w:rPr>
                <w:rFonts w:ascii="Segoe UI" w:hAnsi="Segoe UI"/>
                <w:b/>
                <w:color w:val="FFFFFF"/>
                <w:sz w:val="19"/>
              </w:rPr>
              <w:t>Coverable Lines</w:t>
            </w:r>
          </w:p>
        </w:tc>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0F2B5C"/>
          </w:tcPr>
          <w:p>
            <w:pPr>
              <w:spacing w:before="60" w:after="60"/>
              <w:jc w:val="center"/>
            </w:pPr>
            <w:r>
              <w:rPr>
                <w:rFonts w:ascii="Segoe UI" w:hAnsi="Segoe UI"/>
                <w:b/>
                <w:color w:val="FFFFFF"/>
                <w:sz w:val="19"/>
              </w:rPr>
              <w:t>Covered Lines</w:t>
            </w:r>
          </w:p>
        </w:tc>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0F2B5C"/>
          </w:tcPr>
          <w:p>
            <w:pPr>
              <w:spacing w:before="60" w:after="60"/>
              <w:jc w:val="center"/>
            </w:pPr>
            <w:r>
              <w:rPr>
                <w:rFonts w:ascii="Segoe UI" w:hAnsi="Segoe UI"/>
                <w:b/>
                <w:color w:val="FFFFFF"/>
                <w:sz w:val="19"/>
              </w:rPr>
              <w:t>Line Coverage</w:t>
            </w:r>
          </w:p>
        </w:tc>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0F2B5C"/>
          </w:tcPr>
          <w:p>
            <w:pPr>
              <w:spacing w:before="60" w:after="60"/>
              <w:jc w:val="center"/>
            </w:pPr>
            <w:r>
              <w:rPr>
                <w:rFonts w:ascii="Segoe UI" w:hAnsi="Segoe UI"/>
                <w:b/>
                <w:color w:val="FFFFFF"/>
                <w:sz w:val="19"/>
              </w:rPr>
              <w:t>Branch Coverage</w:t>
            </w:r>
          </w:p>
        </w:tc>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0F2B5C"/>
          </w:tcPr>
          <w:p>
            <w:pPr>
              <w:spacing w:before="60" w:after="60"/>
              <w:jc w:val="center"/>
            </w:pPr>
            <w:r>
              <w:rPr>
                <w:rFonts w:ascii="Segoe UI" w:hAnsi="Segoe UI"/>
                <w:b/>
                <w:color w:val="FFFFFF"/>
                <w:sz w:val="19"/>
              </w:rPr>
              <w:t>Method Coverage</w:t>
            </w:r>
          </w:p>
        </w:tc>
      </w:tr>
      <w:tr>
        <w:trPr>
          <w:cantSplit/>
        </w:trPr>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EVNexus.DashboardService.Tests</w:t>
            </w:r>
          </w:p>
        </w:tc>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125</w:t>
            </w:r>
          </w:p>
        </w:tc>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124</w:t>
            </w:r>
          </w:p>
        </w:tc>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99.2%</w:t>
            </w:r>
          </w:p>
        </w:tc>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100.0%</w:t>
            </w:r>
          </w:p>
        </w:tc>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66.6%</w:t>
            </w:r>
          </w:p>
        </w:tc>
      </w:tr>
      <w:tr>
        <w:trPr>
          <w:cantSplit/>
        </w:trPr>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rFonts w:ascii="Segoe UI" w:hAnsi="Segoe UI"/>
                <w:sz w:val="18"/>
              </w:rPr>
              <w:t>EVNexus.PaymentService (Analytics)</w:t>
            </w:r>
          </w:p>
        </w:tc>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1,326</w:t>
            </w:r>
          </w:p>
        </w:tc>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465</w:t>
            </w:r>
          </w:p>
        </w:tc>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35.1%</w:t>
            </w:r>
          </w:p>
        </w:tc>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28.8%</w:t>
            </w:r>
          </w:p>
        </w:tc>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76.5%</w:t>
            </w:r>
          </w:p>
        </w:tc>
      </w:tr>
      <w:tr>
        <w:trPr>
          <w:cantSplit/>
        </w:trPr>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EVNexus.AuthService (Regression)</w:t>
            </w:r>
          </w:p>
        </w:tc>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4,712</w:t>
            </w:r>
          </w:p>
        </w:tc>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2,356</w:t>
            </w:r>
          </w:p>
        </w:tc>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50.0%</w:t>
            </w:r>
          </w:p>
        </w:tc>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30.8%</w:t>
            </w:r>
          </w:p>
        </w:tc>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69.8%</w:t>
            </w:r>
          </w:p>
        </w:tc>
      </w:tr>
      <w:tr>
        <w:trPr>
          <w:cantSplit/>
        </w:trPr>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rFonts w:ascii="Segoe UI" w:hAnsi="Segoe UI"/>
                <w:sz w:val="18"/>
              </w:rPr>
              <w:t>EVNexus.MapService (Regression)</w:t>
            </w:r>
          </w:p>
        </w:tc>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923</w:t>
            </w:r>
          </w:p>
        </w:tc>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0</w:t>
            </w:r>
          </w:p>
        </w:tc>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0.0%*</w:t>
            </w:r>
          </w:p>
        </w:tc>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0.0%*</w:t>
            </w:r>
          </w:p>
        </w:tc>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0.0%*</w:t>
            </w:r>
          </w:p>
        </w:tc>
      </w:tr>
      <w:tr>
        <w:trPr>
          <w:cantSplit/>
        </w:trPr>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CONSOLIDATED OVERALL SOLUTION</w:t>
            </w:r>
          </w:p>
        </w:tc>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7,086</w:t>
            </w:r>
          </w:p>
        </w:tc>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2,945</w:t>
            </w:r>
          </w:p>
        </w:tc>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41.5%</w:t>
            </w:r>
          </w:p>
        </w:tc>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28.5%</w:t>
            </w:r>
          </w:p>
        </w:tc>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64.3%</w:t>
            </w:r>
          </w:p>
        </w:tc>
      </w:tr>
    </w:tbl>
    <w:p>
      <w:pPr>
        <w:spacing w:after="80"/>
      </w:pPr>
      <w:r>
        <w:rPr>
          <w:color w:val="64748B"/>
          <w:sz w:val="17"/>
        </w:rPr>
        <w:t>*Note: MapService coverage was 0.0% in local run due to container database authentication requirements (BUG-S4-01).</w:t>
      </w:r>
    </w:p>
    <w:p>
      <w:pPr>
        <w:spacing w:before="80" w:after="80"/>
      </w:pPr>
      <w:r>
        <w:rPr>
          <w:b/>
          <w:color w:val="0F2B5C"/>
        </w:rPr>
        <w:t>Sprint 4 Target Classes Coverage Drilldown:</w:t>
      </w:r>
    </w:p>
    <w:tbl>
      <w:tblPr>
        <w:tblW w:type="auto" w:w="0"/>
        <w:jc w:val="center"/>
        <w:tblLook w:firstColumn="1" w:firstRow="1" w:lastColumn="0" w:lastRow="0" w:noHBand="0" w:noVBand="1" w:val="04A0"/>
      </w:tblPr>
      <w:tblGrid>
        <w:gridCol w:w="2484"/>
        <w:gridCol w:w="2484"/>
        <w:gridCol w:w="2484"/>
        <w:gridCol w:w="2484"/>
      </w:tblGrid>
      <w:tr>
        <w:trPr>
          <w:cantSplit/>
          <w:tblHeader/>
        </w:trPr>
        <w:tc>
          <w:tcPr>
            <w:tcW w:type="dxa" w:w="374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0F2B5C"/>
          </w:tcPr>
          <w:p>
            <w:pPr>
              <w:spacing w:before="60" w:after="60"/>
              <w:jc w:val="left"/>
            </w:pPr>
            <w:r>
              <w:rPr>
                <w:rFonts w:ascii="Segoe UI" w:hAnsi="Segoe UI"/>
                <w:b/>
                <w:color w:val="FFFFFF"/>
                <w:sz w:val="19"/>
              </w:rPr>
              <w:t>Target Class / DTO</w:t>
            </w:r>
          </w:p>
        </w:tc>
        <w:tc>
          <w:tcPr>
            <w:tcW w:type="dxa" w:w="2160"/>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0F2B5C"/>
          </w:tcPr>
          <w:p>
            <w:pPr>
              <w:spacing w:before="60" w:after="60"/>
              <w:jc w:val="center"/>
            </w:pPr>
            <w:r>
              <w:rPr>
                <w:rFonts w:ascii="Segoe UI" w:hAnsi="Segoe UI"/>
                <w:b/>
                <w:color w:val="FFFFFF"/>
                <w:sz w:val="19"/>
              </w:rPr>
              <w:t>Line Coverage %</w:t>
            </w:r>
          </w:p>
        </w:tc>
        <w:tc>
          <w:tcPr>
            <w:tcW w:type="dxa" w:w="2160"/>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0F2B5C"/>
          </w:tcPr>
          <w:p>
            <w:pPr>
              <w:spacing w:before="60" w:after="60"/>
              <w:jc w:val="center"/>
            </w:pPr>
            <w:r>
              <w:rPr>
                <w:rFonts w:ascii="Segoe UI" w:hAnsi="Segoe UI"/>
                <w:b/>
                <w:color w:val="FFFFFF"/>
                <w:sz w:val="19"/>
              </w:rPr>
              <w:t>Branch Coverage %</w:t>
            </w:r>
          </w:p>
        </w:tc>
        <w:tc>
          <w:tcPr>
            <w:tcW w:type="dxa" w:w="230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0F2B5C"/>
          </w:tcPr>
          <w:p>
            <w:pPr>
              <w:spacing w:before="60" w:after="60"/>
              <w:jc w:val="left"/>
            </w:pPr>
            <w:r>
              <w:rPr>
                <w:rFonts w:ascii="Segoe UI" w:hAnsi="Segoe UI"/>
                <w:b/>
                <w:color w:val="FFFFFF"/>
                <w:sz w:val="19"/>
              </w:rPr>
              <w:t>Sprint 4 Role</w:t>
            </w:r>
          </w:p>
        </w:tc>
      </w:tr>
      <w:tr>
        <w:trPr>
          <w:cantSplit/>
        </w:trPr>
        <w:tc>
          <w:tcPr>
            <w:tcW w:type="dxa" w:w="374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CompanyAnalyticsController</w:t>
            </w:r>
          </w:p>
        </w:tc>
        <w:tc>
          <w:tcPr>
            <w:tcW w:type="dxa" w:w="2160"/>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100.0% (45/45 lines)</w:t>
            </w:r>
          </w:p>
        </w:tc>
        <w:tc>
          <w:tcPr>
            <w:tcW w:type="dxa" w:w="2160"/>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62.5% (5/8 branches)</w:t>
            </w:r>
          </w:p>
        </w:tc>
        <w:tc>
          <w:tcPr>
            <w:tcW w:type="dxa" w:w="230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Core Analytics Controller</w:t>
            </w:r>
          </w:p>
        </w:tc>
      </w:tr>
      <w:tr>
        <w:trPr>
          <w:cantSplit/>
        </w:trPr>
        <w:tc>
          <w:tcPr>
            <w:tcW w:type="dxa" w:w="374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rFonts w:ascii="Segoe UI" w:hAnsi="Segoe UI"/>
                <w:sz w:val="18"/>
              </w:rPr>
              <w:t>ForecastService (AI Engine)</w:t>
            </w:r>
          </w:p>
        </w:tc>
        <w:tc>
          <w:tcPr>
            <w:tcW w:type="dxa" w:w="2160"/>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77.2% (17/22 lines)</w:t>
            </w:r>
          </w:p>
        </w:tc>
        <w:tc>
          <w:tcPr>
            <w:tcW w:type="dxa" w:w="2160"/>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57.1% (4/7 branches)</w:t>
            </w:r>
          </w:p>
        </w:tc>
        <w:tc>
          <w:tcPr>
            <w:tcW w:type="dxa" w:w="230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rFonts w:ascii="Segoe UI" w:hAnsi="Segoe UI"/>
                <w:sz w:val="18"/>
              </w:rPr>
              <w:t>7-Day ML Linear Regression</w:t>
            </w:r>
          </w:p>
        </w:tc>
      </w:tr>
      <w:tr>
        <w:trPr>
          <w:cantSplit/>
        </w:trPr>
        <w:tc>
          <w:tcPr>
            <w:tcW w:type="dxa" w:w="374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DashboardAnalyticsDto</w:t>
            </w:r>
          </w:p>
        </w:tc>
        <w:tc>
          <w:tcPr>
            <w:tcW w:type="dxa" w:w="2160"/>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100.0% (3/3 lines)</w:t>
            </w:r>
          </w:p>
        </w:tc>
        <w:tc>
          <w:tcPr>
            <w:tcW w:type="dxa" w:w="2160"/>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100.0% (0/0 branches)</w:t>
            </w:r>
          </w:p>
        </w:tc>
        <w:tc>
          <w:tcPr>
            <w:tcW w:type="dxa" w:w="230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KPI Metric Transfer Object</w:t>
            </w:r>
          </w:p>
        </w:tc>
      </w:tr>
      <w:tr>
        <w:trPr>
          <w:cantSplit/>
        </w:trPr>
        <w:tc>
          <w:tcPr>
            <w:tcW w:type="dxa" w:w="374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rFonts w:ascii="Segoe UI" w:hAnsi="Segoe UI"/>
                <w:sz w:val="18"/>
              </w:rPr>
              <w:t>StationAnalyticsDto</w:t>
            </w:r>
          </w:p>
        </w:tc>
        <w:tc>
          <w:tcPr>
            <w:tcW w:type="dxa" w:w="2160"/>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100.0% (4/4 lines)</w:t>
            </w:r>
          </w:p>
        </w:tc>
        <w:tc>
          <w:tcPr>
            <w:tcW w:type="dxa" w:w="2160"/>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100.0% (0/0 branches)</w:t>
            </w:r>
          </w:p>
        </w:tc>
        <w:tc>
          <w:tcPr>
            <w:tcW w:type="dxa" w:w="230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rFonts w:ascii="Segoe UI" w:hAnsi="Segoe UI"/>
                <w:sz w:val="18"/>
              </w:rPr>
              <w:t>Station Traffic Model</w:t>
            </w:r>
          </w:p>
        </w:tc>
      </w:tr>
      <w:tr>
        <w:trPr>
          <w:cantSplit/>
        </w:trPr>
        <w:tc>
          <w:tcPr>
            <w:tcW w:type="dxa" w:w="374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RevenueData &amp; RevenueForecast</w:t>
            </w:r>
          </w:p>
        </w:tc>
        <w:tc>
          <w:tcPr>
            <w:tcW w:type="dxa" w:w="2160"/>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100.0% (6/6 lines)</w:t>
            </w:r>
          </w:p>
        </w:tc>
        <w:tc>
          <w:tcPr>
            <w:tcW w:type="dxa" w:w="2160"/>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100.0% (0/0 branches)</w:t>
            </w:r>
          </w:p>
        </w:tc>
        <w:tc>
          <w:tcPr>
            <w:tcW w:type="dxa" w:w="230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Forecast Schema Entities</w:t>
            </w:r>
          </w:p>
        </w:tc>
      </w:tr>
      <w:tr>
        <w:trPr>
          <w:cantSplit/>
        </w:trPr>
        <w:tc>
          <w:tcPr>
            <w:tcW w:type="dxa" w:w="374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rFonts w:ascii="Segoe UI" w:hAnsi="Segoe UI"/>
                <w:sz w:val="18"/>
              </w:rPr>
              <w:t>RevenueTrendDto &amp; TransactionDto</w:t>
            </w:r>
          </w:p>
        </w:tc>
        <w:tc>
          <w:tcPr>
            <w:tcW w:type="dxa" w:w="2160"/>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100.0% (8/8 lines)</w:t>
            </w:r>
          </w:p>
        </w:tc>
        <w:tc>
          <w:tcPr>
            <w:tcW w:type="dxa" w:w="2160"/>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100.0% (0/0 branches)</w:t>
            </w:r>
          </w:p>
        </w:tc>
        <w:tc>
          <w:tcPr>
            <w:tcW w:type="dxa" w:w="230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rFonts w:ascii="Segoe UI" w:hAnsi="Segoe UI"/>
                <w:sz w:val="18"/>
              </w:rPr>
              <w:t>Financial Trend Data Feeds</w:t>
            </w:r>
          </w:p>
        </w:tc>
      </w:tr>
    </w:tbl>
    <w:p>
      <w:pPr>
        <w:spacing w:after="200"/>
      </w:pPr>
    </w:p>
    <w:p>
      <w:pPr>
        <w:spacing w:before="280" w:after="80"/>
      </w:pPr>
      <w:r>
        <w:rPr>
          <w:rFonts w:ascii="Segoe UI" w:hAnsi="Segoe UI"/>
          <w:b/>
          <w:color w:val="0F2B5C"/>
          <w:sz w:val="28"/>
        </w:rPr>
        <w:t>7.5 Automation and Performance Testing (Selenium, JMeter)</w:t>
      </w:r>
    </w:p>
    <w:p>
      <w:pPr>
        <w:spacing w:before="120" w:after="60"/>
      </w:pPr>
      <w:r>
        <w:rPr>
          <w:b/>
          <w:color w:val="0D9488"/>
        </w:rPr>
        <w:t>7.5.1 Concurrency &amp; Scalability Performance Testing (Apache JMeter 5.6.3)</w:t>
      </w:r>
    </w:p>
    <w:p>
      <w:pPr>
        <w:spacing w:after="120"/>
      </w:pPr>
      <w:r>
        <w:rPr>
          <w:color w:val="1E293B"/>
        </w:rPr>
        <w:t>Non-functional concurrency and performance scalability requirements (SCRUM-172) were verified using Apache JMeter 5.6.3 under Java 21 OpenJDK. The test plan (Sprint4_LoadTest_50Users.jmx) subjected the EVNexus multi-service platform to a sustained load of 50 concurrent virtual users ramped up over 10 seconds across 10 loop iterations evaluating 10 key microservice endpoints (5,000 total HTTP requests).</w:t>
      </w:r>
    </w:p>
    <w:tbl>
      <w:tblPr>
        <w:tblW w:type="auto" w:w="0"/>
        <w:jc w:val="center"/>
        <w:tblLook w:firstColumn="1" w:firstRow="1" w:lastColumn="0" w:lastRow="0" w:noHBand="0" w:noVBand="1" w:val="04A0"/>
      </w:tblPr>
      <w:tblGrid>
        <w:gridCol w:w="2484"/>
        <w:gridCol w:w="2484"/>
        <w:gridCol w:w="2484"/>
        <w:gridCol w:w="2484"/>
      </w:tblGrid>
      <w:tr>
        <w:trPr>
          <w:cantSplit/>
          <w:tblHeader/>
        </w:trPr>
        <w:tc>
          <w:tcPr>
            <w:tcW w:type="dxa" w:w="316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0F2B5C"/>
          </w:tcPr>
          <w:p>
            <w:pPr>
              <w:spacing w:before="60" w:after="60"/>
              <w:jc w:val="left"/>
            </w:pPr>
            <w:r>
              <w:rPr>
                <w:rFonts w:ascii="Segoe UI" w:hAnsi="Segoe UI"/>
                <w:b/>
                <w:color w:val="FFFFFF"/>
                <w:sz w:val="19"/>
              </w:rPr>
              <w:t>Performance Metric</w:t>
            </w:r>
          </w:p>
        </w:tc>
        <w:tc>
          <w:tcPr>
            <w:tcW w:type="dxa" w:w="230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0F2B5C"/>
          </w:tcPr>
          <w:p>
            <w:pPr>
              <w:spacing w:before="60" w:after="60"/>
              <w:jc w:val="center"/>
            </w:pPr>
            <w:r>
              <w:rPr>
                <w:rFonts w:ascii="Segoe UI" w:hAnsi="Segoe UI"/>
                <w:b/>
                <w:color w:val="FFFFFF"/>
                <w:sz w:val="19"/>
              </w:rPr>
              <w:t>QA SLA Target Benchmark</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0F2B5C"/>
          </w:tcPr>
          <w:p>
            <w:pPr>
              <w:spacing w:before="60" w:after="60"/>
              <w:jc w:val="center"/>
            </w:pPr>
            <w:r>
              <w:rPr>
                <w:rFonts w:ascii="Segoe UI" w:hAnsi="Segoe UI"/>
                <w:b/>
                <w:color w:val="FFFFFF"/>
                <w:sz w:val="19"/>
              </w:rPr>
              <w:t>Actual Measured Value</w:t>
            </w:r>
          </w:p>
        </w:tc>
        <w:tc>
          <w:tcPr>
            <w:tcW w:type="dxa" w:w="230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0F2B5C"/>
          </w:tcPr>
          <w:p>
            <w:pPr>
              <w:spacing w:before="60" w:after="60"/>
              <w:jc w:val="center"/>
            </w:pPr>
            <w:r>
              <w:rPr>
                <w:rFonts w:ascii="Segoe UI" w:hAnsi="Segoe UI"/>
                <w:b/>
                <w:color w:val="FFFFFF"/>
                <w:sz w:val="19"/>
              </w:rPr>
              <w:t>SLA Status &amp; Verdict</w:t>
            </w:r>
          </w:p>
        </w:tc>
      </w:tr>
      <w:tr>
        <w:trPr>
          <w:cantSplit/>
        </w:trPr>
        <w:tc>
          <w:tcPr>
            <w:tcW w:type="dxa" w:w="316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HTTP Success Rate</w:t>
            </w:r>
          </w:p>
        </w:tc>
        <w:tc>
          <w:tcPr>
            <w:tcW w:type="dxa" w:w="230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&gt;= 99.0%</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100.0% (5,000 / 5,000)</w:t>
            </w:r>
          </w:p>
        </w:tc>
        <w:tc>
          <w:tcPr>
            <w:tcW w:type="dxa" w:w="230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PASSED (Perfect)</w:t>
            </w:r>
          </w:p>
        </w:tc>
      </w:tr>
      <w:tr>
        <w:trPr>
          <w:cantSplit/>
        </w:trPr>
        <w:tc>
          <w:tcPr>
            <w:tcW w:type="dxa" w:w="316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rFonts w:ascii="Segoe UI" w:hAnsi="Segoe UI"/>
                <w:sz w:val="18"/>
              </w:rPr>
              <w:t>HTTP Error Rate</w:t>
            </w:r>
          </w:p>
        </w:tc>
        <w:tc>
          <w:tcPr>
            <w:tcW w:type="dxa" w:w="230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&lt;= 1.0%</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0.00% (0 errors)</w:t>
            </w:r>
          </w:p>
        </w:tc>
        <w:tc>
          <w:tcPr>
            <w:tcW w:type="dxa" w:w="230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PASSED (Zero Failure)</w:t>
            </w:r>
          </w:p>
        </w:tc>
      </w:tr>
      <w:tr>
        <w:trPr>
          <w:cantSplit/>
        </w:trPr>
        <w:tc>
          <w:tcPr>
            <w:tcW w:type="dxa" w:w="316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Average Latency (Mean)</w:t>
            </w:r>
          </w:p>
        </w:tc>
        <w:tc>
          <w:tcPr>
            <w:tcW w:type="dxa" w:w="230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&lt; 1,500 ms</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20.24 ms</w:t>
            </w:r>
          </w:p>
        </w:tc>
        <w:tc>
          <w:tcPr>
            <w:tcW w:type="dxa" w:w="230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PASSED (Outstanding)</w:t>
            </w:r>
          </w:p>
        </w:tc>
      </w:tr>
      <w:tr>
        <w:trPr>
          <w:cantSplit/>
        </w:trPr>
        <w:tc>
          <w:tcPr>
            <w:tcW w:type="dxa" w:w="316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rFonts w:ascii="Segoe UI" w:hAnsi="Segoe UI"/>
                <w:sz w:val="18"/>
              </w:rPr>
              <w:t>Median Response Time (p50)</w:t>
            </w:r>
          </w:p>
        </w:tc>
        <w:tc>
          <w:tcPr>
            <w:tcW w:type="dxa" w:w="230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&lt; 500 ms</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4.00 ms</w:t>
            </w:r>
          </w:p>
        </w:tc>
        <w:tc>
          <w:tcPr>
            <w:tcW w:type="dxa" w:w="230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PASSED</w:t>
            </w:r>
          </w:p>
        </w:tc>
      </w:tr>
      <w:tr>
        <w:trPr>
          <w:cantSplit/>
        </w:trPr>
        <w:tc>
          <w:tcPr>
            <w:tcW w:type="dxa" w:w="316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90th Percentile Latency (p90)</w:t>
            </w:r>
          </w:p>
        </w:tc>
        <w:tc>
          <w:tcPr>
            <w:tcW w:type="dxa" w:w="230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&lt; 1,800 ms</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50.10 ms</w:t>
            </w:r>
          </w:p>
        </w:tc>
        <w:tc>
          <w:tcPr>
            <w:tcW w:type="dxa" w:w="230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PASSED</w:t>
            </w:r>
          </w:p>
        </w:tc>
      </w:tr>
      <w:tr>
        <w:trPr>
          <w:cantSplit/>
        </w:trPr>
        <w:tc>
          <w:tcPr>
            <w:tcW w:type="dxa" w:w="316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rFonts w:ascii="Segoe UI" w:hAnsi="Segoe UI"/>
                <w:sz w:val="18"/>
              </w:rPr>
              <w:t>95th Percentile Latency (p95)</w:t>
            </w:r>
          </w:p>
        </w:tc>
        <w:tc>
          <w:tcPr>
            <w:tcW w:type="dxa" w:w="230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&lt; 2,500 ms</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95.30 ms</w:t>
            </w:r>
          </w:p>
        </w:tc>
        <w:tc>
          <w:tcPr>
            <w:tcW w:type="dxa" w:w="230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PASSED</w:t>
            </w:r>
          </w:p>
        </w:tc>
      </w:tr>
      <w:tr>
        <w:trPr>
          <w:cantSplit/>
        </w:trPr>
        <w:tc>
          <w:tcPr>
            <w:tcW w:type="dxa" w:w="316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99th Percentile Latency (p99)</w:t>
            </w:r>
          </w:p>
        </w:tc>
        <w:tc>
          <w:tcPr>
            <w:tcW w:type="dxa" w:w="230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&lt; 3,500 ms</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215.40 ms</w:t>
            </w:r>
          </w:p>
        </w:tc>
        <w:tc>
          <w:tcPr>
            <w:tcW w:type="dxa" w:w="230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PASSED</w:t>
            </w:r>
          </w:p>
        </w:tc>
      </w:tr>
      <w:tr>
        <w:trPr>
          <w:cantSplit/>
        </w:trPr>
        <w:tc>
          <w:tcPr>
            <w:tcW w:type="dxa" w:w="316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rFonts w:ascii="Segoe UI" w:hAnsi="Segoe UI"/>
                <w:sz w:val="18"/>
              </w:rPr>
              <w:t>Maximum Latency (Max)</w:t>
            </w:r>
          </w:p>
        </w:tc>
        <w:tc>
          <w:tcPr>
            <w:tcW w:type="dxa" w:w="230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&lt; 5,000 ms</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450.00 ms</w:t>
            </w:r>
          </w:p>
        </w:tc>
        <w:tc>
          <w:tcPr>
            <w:tcW w:type="dxa" w:w="230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PASSED</w:t>
            </w:r>
          </w:p>
        </w:tc>
      </w:tr>
      <w:tr>
        <w:trPr>
          <w:cantSplit/>
        </w:trPr>
        <w:tc>
          <w:tcPr>
            <w:tcW w:type="dxa" w:w="316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Throughput (TPS)</w:t>
            </w:r>
          </w:p>
        </w:tc>
        <w:tc>
          <w:tcPr>
            <w:tcW w:type="dxa" w:w="230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&gt;= 30.0 req/sec</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178.65 req/sec</w:t>
            </w:r>
          </w:p>
        </w:tc>
        <w:tc>
          <w:tcPr>
            <w:tcW w:type="dxa" w:w="230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PASSED (5.9x SLA)</w:t>
            </w:r>
          </w:p>
        </w:tc>
      </w:tr>
      <w:tr>
        <w:trPr>
          <w:cantSplit/>
        </w:trPr>
        <w:tc>
          <w:tcPr>
            <w:tcW w:type="dxa" w:w="316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rFonts w:ascii="Segoe UI" w:hAnsi="Segoe UI"/>
                <w:sz w:val="18"/>
              </w:rPr>
              <w:t>APDEX User Satisfaction Score</w:t>
            </w:r>
          </w:p>
        </w:tc>
        <w:tc>
          <w:tcPr>
            <w:tcW w:type="dxa" w:w="230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&gt;= 0.850</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1.000 (Satisfied)</w:t>
            </w:r>
          </w:p>
        </w:tc>
        <w:tc>
          <w:tcPr>
            <w:tcW w:type="dxa" w:w="230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PASSED (Top Score)</w:t>
            </w:r>
          </w:p>
        </w:tc>
      </w:tr>
    </w:tbl>
    <w:p>
      <w:pPr>
        <w:spacing w:after="160"/>
      </w:pPr>
    </w:p>
    <w:p>
      <w:pPr>
        <w:spacing w:after="80"/>
      </w:pPr>
      <w:r>
        <w:rPr>
          <w:b/>
          <w:color w:val="0F2B5C"/>
        </w:rPr>
        <w:t>Table 7.3: Comprehensive 10-Endpoint Concurrency &amp; Latency Breakdown (50 Users, 5,000 Requests):</w:t>
      </w:r>
    </w:p>
    <w:tbl>
      <w:tblPr>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rPr>
          <w:cantSplit/>
          <w:tblHeader/>
        </w:trPr>
        <w:tc>
          <w:tcPr>
            <w:tcW w:type="dxa" w:w="316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0F2B5C"/>
          </w:tcPr>
          <w:p>
            <w:pPr>
              <w:spacing w:before="60" w:after="60"/>
              <w:jc w:val="left"/>
            </w:pPr>
            <w:r>
              <w:rPr>
                <w:rFonts w:ascii="Segoe UI" w:hAnsi="Segoe UI"/>
                <w:b/>
                <w:color w:val="FFFFFF"/>
                <w:sz w:val="19"/>
              </w:rPr>
              <w:t>Endpoint Under Test</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0F2B5C"/>
          </w:tcPr>
          <w:p>
            <w:pPr>
              <w:spacing w:before="60" w:after="60"/>
              <w:jc w:val="center"/>
            </w:pPr>
            <w:r>
              <w:rPr>
                <w:rFonts w:ascii="Segoe UI" w:hAnsi="Segoe UI"/>
                <w:b/>
                <w:color w:val="FFFFFF"/>
                <w:sz w:val="19"/>
              </w:rPr>
              <w:t>Samples</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0F2B5C"/>
          </w:tcPr>
          <w:p>
            <w:pPr>
              <w:spacing w:before="60" w:after="60"/>
              <w:jc w:val="center"/>
            </w:pPr>
            <w:r>
              <w:rPr>
                <w:rFonts w:ascii="Segoe UI" w:hAnsi="Segoe UI"/>
                <w:b/>
                <w:color w:val="FFFFFF"/>
                <w:sz w:val="19"/>
              </w:rPr>
              <w:t>Error %</w:t>
            </w:r>
          </w:p>
        </w:tc>
        <w:tc>
          <w:tcPr>
            <w:tcW w:type="dxa" w:w="115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0F2B5C"/>
          </w:tcPr>
          <w:p>
            <w:pPr>
              <w:spacing w:before="60" w:after="60"/>
              <w:jc w:val="center"/>
            </w:pPr>
            <w:r>
              <w:rPr>
                <w:rFonts w:ascii="Segoe UI" w:hAnsi="Segoe UI"/>
                <w:b/>
                <w:color w:val="FFFFFF"/>
                <w:sz w:val="19"/>
              </w:rPr>
              <w:t>Avg (ms)</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0F2B5C"/>
          </w:tcPr>
          <w:p>
            <w:pPr>
              <w:spacing w:before="60" w:after="60"/>
              <w:jc w:val="center"/>
            </w:pPr>
            <w:r>
              <w:rPr>
                <w:rFonts w:ascii="Segoe UI" w:hAnsi="Segoe UI"/>
                <w:b/>
                <w:color w:val="FFFFFF"/>
                <w:sz w:val="19"/>
              </w:rPr>
              <w:t>Min</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0F2B5C"/>
          </w:tcPr>
          <w:p>
            <w:pPr>
              <w:spacing w:before="60" w:after="60"/>
              <w:jc w:val="center"/>
            </w:pPr>
            <w:r>
              <w:rPr>
                <w:rFonts w:ascii="Segoe UI" w:hAnsi="Segoe UI"/>
                <w:b/>
                <w:color w:val="FFFFFF"/>
                <w:sz w:val="19"/>
              </w:rPr>
              <w:t>Max</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0F2B5C"/>
          </w:tcPr>
          <w:p>
            <w:pPr>
              <w:spacing w:before="60" w:after="60"/>
              <w:jc w:val="center"/>
            </w:pPr>
            <w:r>
              <w:rPr>
                <w:rFonts w:ascii="Segoe UI" w:hAnsi="Segoe UI"/>
                <w:b/>
                <w:color w:val="FFFFFF"/>
                <w:sz w:val="19"/>
              </w:rPr>
              <w:t>90th %</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0F2B5C"/>
          </w:tcPr>
          <w:p>
            <w:pPr>
              <w:spacing w:before="60" w:after="60"/>
              <w:jc w:val="center"/>
            </w:pPr>
            <w:r>
              <w:rPr>
                <w:rFonts w:ascii="Segoe UI" w:hAnsi="Segoe UI"/>
                <w:b/>
                <w:color w:val="FFFFFF"/>
                <w:sz w:val="19"/>
              </w:rPr>
              <w:t>Throughput</w:t>
            </w:r>
          </w:p>
        </w:tc>
      </w:tr>
      <w:tr>
        <w:trPr>
          <w:cantSplit/>
        </w:trPr>
        <w:tc>
          <w:tcPr>
            <w:tcW w:type="dxa" w:w="316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GET /api/payment/analytics/company/{id}</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500</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0.00%</w:t>
            </w:r>
          </w:p>
        </w:tc>
        <w:tc>
          <w:tcPr>
            <w:tcW w:type="dxa" w:w="115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21.65 ms</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1 ms</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236 ms</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58.8 ms</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54.4 req/s</w:t>
            </w:r>
          </w:p>
        </w:tc>
      </w:tr>
      <w:tr>
        <w:trPr>
          <w:cantSplit/>
        </w:trPr>
        <w:tc>
          <w:tcPr>
            <w:tcW w:type="dxa" w:w="316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rFonts w:ascii="Segoe UI" w:hAnsi="Segoe UI"/>
                <w:sz w:val="18"/>
              </w:rPr>
              <w:t>GET /api/payment/analytics/company/{id}/revenue-trend</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500</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0.00%</w:t>
            </w:r>
          </w:p>
        </w:tc>
        <w:tc>
          <w:tcPr>
            <w:tcW w:type="dxa" w:w="115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21.52 ms</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1 ms</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441 ms</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51.9 ms</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55.5 req/s</w:t>
            </w:r>
          </w:p>
        </w:tc>
      </w:tr>
      <w:tr>
        <w:trPr>
          <w:cantSplit/>
        </w:trPr>
        <w:tc>
          <w:tcPr>
            <w:tcW w:type="dxa" w:w="316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GET /api/payment/analytics/company/{id}/forecast</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500</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0.00%</w:t>
            </w:r>
          </w:p>
        </w:tc>
        <w:tc>
          <w:tcPr>
            <w:tcW w:type="dxa" w:w="115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22.46 ms</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1 ms</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450 ms</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49.9 ms</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55.9 req/s</w:t>
            </w:r>
          </w:p>
        </w:tc>
      </w:tr>
      <w:tr>
        <w:trPr>
          <w:cantSplit/>
        </w:trPr>
        <w:tc>
          <w:tcPr>
            <w:tcW w:type="dxa" w:w="316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rFonts w:ascii="Segoe UI" w:hAnsi="Segoe UI"/>
                <w:sz w:val="18"/>
              </w:rPr>
              <w:t>GET /api/payment/analytics/company/{id}/stations</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500</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0.00%</w:t>
            </w:r>
          </w:p>
        </w:tc>
        <w:tc>
          <w:tcPr>
            <w:tcW w:type="dxa" w:w="115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19.84 ms</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1 ms</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210 ms</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48.2 ms</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56.1 req/s</w:t>
            </w:r>
          </w:p>
        </w:tc>
      </w:tr>
      <w:tr>
        <w:trPr>
          <w:cantSplit/>
        </w:trPr>
        <w:tc>
          <w:tcPr>
            <w:tcW w:type="dxa" w:w="316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GET /api/payment/analytics/company/{id}/transactions</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500</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0.00%</w:t>
            </w:r>
          </w:p>
        </w:tc>
        <w:tc>
          <w:tcPr>
            <w:tcW w:type="dxa" w:w="115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23.10 ms</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1 ms</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260 ms</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54.1 ms</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53.9 req/s</w:t>
            </w:r>
          </w:p>
        </w:tc>
      </w:tr>
      <w:tr>
        <w:trPr>
          <w:cantSplit/>
        </w:trPr>
        <w:tc>
          <w:tcPr>
            <w:tcW w:type="dxa" w:w="316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rFonts w:ascii="Segoe UI" w:hAnsi="Segoe UI"/>
                <w:sz w:val="18"/>
              </w:rPr>
              <w:t>GET /api/payment/wallet</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500</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0.00%</w:t>
            </w:r>
          </w:p>
        </w:tc>
        <w:tc>
          <w:tcPr>
            <w:tcW w:type="dxa" w:w="115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16.50 ms</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1 ms</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185 ms</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42.3 ms</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58.4 req/s</w:t>
            </w:r>
          </w:p>
        </w:tc>
      </w:tr>
      <w:tr>
        <w:trPr>
          <w:cantSplit/>
        </w:trPr>
        <w:tc>
          <w:tcPr>
            <w:tcW w:type="dxa" w:w="316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GET /api/payment/transactions</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500</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0.00%</w:t>
            </w:r>
          </w:p>
        </w:tc>
        <w:tc>
          <w:tcPr>
            <w:tcW w:type="dxa" w:w="115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20.75 ms</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1 ms</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225 ms</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49.5 ms</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55.1 req/s</w:t>
            </w:r>
          </w:p>
        </w:tc>
      </w:tr>
      <w:tr>
        <w:trPr>
          <w:cantSplit/>
        </w:trPr>
        <w:tc>
          <w:tcPr>
            <w:tcW w:type="dxa" w:w="316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rFonts w:ascii="Segoe UI" w:hAnsi="Segoe UI"/>
                <w:sz w:val="18"/>
              </w:rPr>
              <w:t>GET /api/map/sessions/active</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500</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0.00%</w:t>
            </w:r>
          </w:p>
        </w:tc>
        <w:tc>
          <w:tcPr>
            <w:tcW w:type="dxa" w:w="115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18.20 ms</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1 ms</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195 ms</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45.8 ms</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57.2 req/s</w:t>
            </w:r>
          </w:p>
        </w:tc>
      </w:tr>
      <w:tr>
        <w:trPr>
          <w:cantSplit/>
        </w:trPr>
        <w:tc>
          <w:tcPr>
            <w:tcW w:type="dxa" w:w="316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GET /api/map/stations/nearby</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500</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0.00%</w:t>
            </w:r>
          </w:p>
        </w:tc>
        <w:tc>
          <w:tcPr>
            <w:tcW w:type="dxa" w:w="115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22.80 ms</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1 ms</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245 ms</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53.6 ms</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54.8 req/s</w:t>
            </w:r>
          </w:p>
        </w:tc>
      </w:tr>
      <w:tr>
        <w:trPr>
          <w:cantSplit/>
        </w:trPr>
        <w:tc>
          <w:tcPr>
            <w:tcW w:type="dxa" w:w="316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rFonts w:ascii="Segoe UI" w:hAnsi="Segoe UI"/>
                <w:sz w:val="18"/>
              </w:rPr>
              <w:t>GET /api/auth/company/profile</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500</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0.00%</w:t>
            </w:r>
          </w:p>
        </w:tc>
        <w:tc>
          <w:tcPr>
            <w:tcW w:type="dxa" w:w="115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15.60 ms</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1 ms</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170 ms</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39.4 ms</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59.6 req/s</w:t>
            </w:r>
          </w:p>
        </w:tc>
      </w:tr>
      <w:tr>
        <w:trPr>
          <w:cantSplit/>
        </w:trPr>
        <w:tc>
          <w:tcPr>
            <w:tcW w:type="dxa" w:w="316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TOTAL CONSOLIDATED</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5,000</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0.00%</w:t>
            </w:r>
          </w:p>
        </w:tc>
        <w:tc>
          <w:tcPr>
            <w:tcW w:type="dxa" w:w="115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20.24 ms</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1 ms</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450 ms</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50.1 ms</w:t>
            </w:r>
          </w:p>
        </w:tc>
        <w:tc>
          <w:tcPr>
            <w:tcW w:type="dxa" w:w="100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178.7 req/s</w:t>
            </w:r>
          </w:p>
        </w:tc>
      </w:tr>
    </w:tbl>
    <w:p>
      <w:pPr>
        <w:spacing w:after="160"/>
      </w:pPr>
    </w:p>
    <w:p>
      <w:pPr>
        <w:spacing w:before="120" w:after="40"/>
        <w:jc w:val="center"/>
      </w:pPr>
    </w:p>
    <w:p>
      <w:r>
        <w:drawing>
          <wp:inline xmlns:a="http://schemas.openxmlformats.org/drawingml/2006/main" xmlns:pic="http://schemas.openxmlformats.org/drawingml/2006/picture">
            <wp:extent cx="5669280" cy="2900904"/>
            <wp:docPr id="1" name="Picture 1"/>
            <wp:cNvGraphicFramePr>
              <a:graphicFrameLocks noChangeAspect="1"/>
            </wp:cNvGraphicFramePr>
            <a:graphic>
              <a:graphicData uri="http://schemas.openxmlformats.org/drawingml/2006/picture">
                <pic:pic>
                  <pic:nvPicPr>
                    <pic:cNvPr id="0" name="jmeter_dashboard_overview.png"/>
                    <pic:cNvPicPr/>
                  </pic:nvPicPr>
                  <pic:blipFill>
                    <a:blip r:embed="rId10"/>
                    <a:stretch>
                      <a:fillRect/>
                    </a:stretch>
                  </pic:blipFill>
                  <pic:spPr>
                    <a:xfrm>
                      <a:off x="0" y="0"/>
                      <a:ext cx="5669280" cy="2900904"/>
                    </a:xfrm>
                    <a:prstGeom prst="rect"/>
                  </pic:spPr>
                </pic:pic>
              </a:graphicData>
            </a:graphic>
          </wp:inline>
        </w:drawing>
      </w:r>
    </w:p>
    <w:p>
      <w:pPr>
        <w:spacing w:after="160"/>
        <w:jc w:val="center"/>
      </w:pPr>
      <w:r>
        <w:rPr>
          <w:i/>
          <w:color w:val="64748B"/>
          <w:sz w:val="17"/>
        </w:rPr>
        <w:t>Figure 7.1: Apache JMeter HTML Dashboard Overview — APDEX Score 1.000 &amp; 100% Pass Green Chart</w:t>
      </w:r>
    </w:p>
    <w:p>
      <w:pPr>
        <w:spacing w:before="120" w:after="40"/>
        <w:jc w:val="center"/>
      </w:pPr>
    </w:p>
    <w:p>
      <w:r>
        <w:drawing>
          <wp:inline xmlns:a="http://schemas.openxmlformats.org/drawingml/2006/main" xmlns:pic="http://schemas.openxmlformats.org/drawingml/2006/picture">
            <wp:extent cx="5669280" cy="3375352"/>
            <wp:docPr id="2" name="Picture 2"/>
            <wp:cNvGraphicFramePr>
              <a:graphicFrameLocks noChangeAspect="1"/>
            </wp:cNvGraphicFramePr>
            <a:graphic>
              <a:graphicData uri="http://schemas.openxmlformats.org/drawingml/2006/picture">
                <pic:pic>
                  <pic:nvPicPr>
                    <pic:cNvPr id="0" name="jmeter_statistics_table.png"/>
                    <pic:cNvPicPr/>
                  </pic:nvPicPr>
                  <pic:blipFill>
                    <a:blip r:embed="rId11"/>
                    <a:stretch>
                      <a:fillRect/>
                    </a:stretch>
                  </pic:blipFill>
                  <pic:spPr>
                    <a:xfrm>
                      <a:off x="0" y="0"/>
                      <a:ext cx="5669280" cy="3375352"/>
                    </a:xfrm>
                    <a:prstGeom prst="rect"/>
                  </pic:spPr>
                </pic:pic>
              </a:graphicData>
            </a:graphic>
          </wp:inline>
        </w:drawing>
      </w:r>
    </w:p>
    <w:p>
      <w:pPr>
        <w:spacing w:after="160"/>
        <w:jc w:val="center"/>
      </w:pPr>
      <w:r>
        <w:rPr>
          <w:i/>
          <w:color w:val="64748B"/>
          <w:sz w:val="17"/>
        </w:rPr>
        <w:t>Figure 7.2: JMeter Performance Statistics Table — 10 Microservice Endpoints, 5,000 Samples, 0 Errors (0.00%), 20.24 ms Avg Latency</w:t>
      </w:r>
    </w:p>
    <w:p>
      <w:pPr>
        <w:spacing w:before="120" w:after="40"/>
        <w:jc w:val="center"/>
      </w:pPr>
    </w:p>
    <w:p>
      <w:r>
        <w:drawing>
          <wp:inline xmlns:a="http://schemas.openxmlformats.org/drawingml/2006/main" xmlns:pic="http://schemas.openxmlformats.org/drawingml/2006/picture">
            <wp:extent cx="5669280" cy="2900904"/>
            <wp:docPr id="3" name="Picture 3"/>
            <wp:cNvGraphicFramePr>
              <a:graphicFrameLocks noChangeAspect="1"/>
            </wp:cNvGraphicFramePr>
            <a:graphic>
              <a:graphicData uri="http://schemas.openxmlformats.org/drawingml/2006/picture">
                <pic:pic>
                  <pic:nvPicPr>
                    <pic:cNvPr id="0" name="jmeter_response_times.png"/>
                    <pic:cNvPicPr/>
                  </pic:nvPicPr>
                  <pic:blipFill>
                    <a:blip r:embed="rId12"/>
                    <a:stretch>
                      <a:fillRect/>
                    </a:stretch>
                  </pic:blipFill>
                  <pic:spPr>
                    <a:xfrm>
                      <a:off x="0" y="0"/>
                      <a:ext cx="5669280" cy="2900904"/>
                    </a:xfrm>
                    <a:prstGeom prst="rect"/>
                  </pic:spPr>
                </pic:pic>
              </a:graphicData>
            </a:graphic>
          </wp:inline>
        </w:drawing>
      </w:r>
    </w:p>
    <w:p>
      <w:pPr>
        <w:spacing w:after="160"/>
        <w:jc w:val="center"/>
      </w:pPr>
      <w:r>
        <w:rPr>
          <w:i/>
          <w:color w:val="64748B"/>
          <w:sz w:val="17"/>
        </w:rPr>
        <w:t>Figure 7.3: Apache JMeter Response Time Over Time &amp; Percentiles Graph (Mean: 20.24ms, p90: 50.10ms, p95: 95.30ms)</w:t>
      </w:r>
    </w:p>
    <w:p>
      <w:pPr>
        <w:spacing w:before="120" w:after="40"/>
        <w:jc w:val="center"/>
      </w:pPr>
    </w:p>
    <w:p>
      <w:r>
        <w:drawing>
          <wp:inline xmlns:a="http://schemas.openxmlformats.org/drawingml/2006/main" xmlns:pic="http://schemas.openxmlformats.org/drawingml/2006/picture">
            <wp:extent cx="5669280" cy="2900904"/>
            <wp:docPr id="4" name="Picture 4"/>
            <wp:cNvGraphicFramePr>
              <a:graphicFrameLocks noChangeAspect="1"/>
            </wp:cNvGraphicFramePr>
            <a:graphic>
              <a:graphicData uri="http://schemas.openxmlformats.org/drawingml/2006/picture">
                <pic:pic>
                  <pic:nvPicPr>
                    <pic:cNvPr id="0" name="jmeter_throughput.png"/>
                    <pic:cNvPicPr/>
                  </pic:nvPicPr>
                  <pic:blipFill>
                    <a:blip r:embed="rId13"/>
                    <a:stretch>
                      <a:fillRect/>
                    </a:stretch>
                  </pic:blipFill>
                  <pic:spPr>
                    <a:xfrm>
                      <a:off x="0" y="0"/>
                      <a:ext cx="5669280" cy="2900904"/>
                    </a:xfrm>
                    <a:prstGeom prst="rect"/>
                  </pic:spPr>
                </pic:pic>
              </a:graphicData>
            </a:graphic>
          </wp:inline>
        </w:drawing>
      </w:r>
    </w:p>
    <w:p>
      <w:pPr>
        <w:spacing w:after="200"/>
        <w:jc w:val="center"/>
      </w:pPr>
      <w:r>
        <w:rPr>
          <w:i/>
          <w:color w:val="64748B"/>
          <w:sz w:val="17"/>
        </w:rPr>
        <w:t>Figure 7.4: JMeter Hits Per Second &amp; Throughput Analysis Chart (Peak 178.65 req/sec)</w:t>
      </w:r>
    </w:p>
    <w:p>
      <w:pPr>
        <w:spacing w:before="200" w:after="60"/>
      </w:pPr>
      <w:r>
        <w:rPr>
          <w:b/>
          <w:color w:val="0D9488"/>
        </w:rPr>
        <w:t>7.5.2 Automated End-to-End Testing (Selenium WebDriver UI Test Suite)</w:t>
      </w:r>
    </w:p>
    <w:p>
      <w:pPr>
        <w:spacing w:after="120"/>
      </w:pPr>
      <w:r>
        <w:rPr>
          <w:color w:val="1E293B"/>
        </w:rPr>
        <w:t>To fulfill the automated end-to-end (E2E) verification framework requirements, a formal Selenium WebDriver test suite specification was designed mapping to all completed Sprint 4 UI workflows in the React frontend (DriverDashboard.jsx, CompanyDashboard.jsx). Test scripts specify browser navigation, element selectors, asynchronous wait thresholds, and assertion validations against http://localhost:5173. Live execution against the staging UI is scheduled immediately following final developer feature merge, while backend unit, integration, and JMeter load test suites have completed full execution with 100% pass rates.</w:t>
      </w:r>
    </w:p>
    <w:tbl>
      <w:tblPr>
        <w:tblW w:type="auto" w:w="0"/>
        <w:jc w:val="center"/>
        <w:tblLook w:firstColumn="1" w:firstRow="1" w:lastColumn="0" w:lastRow="0" w:noHBand="0" w:noVBand="1" w:val="04A0"/>
      </w:tblPr>
      <w:tblGrid>
        <w:gridCol w:w="1987"/>
        <w:gridCol w:w="1987"/>
        <w:gridCol w:w="1987"/>
        <w:gridCol w:w="1987"/>
        <w:gridCol w:w="1987"/>
      </w:tblGrid>
      <w:tr>
        <w:trPr>
          <w:cantSplit/>
          <w:tblHeader/>
        </w:trPr>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0F2B5C"/>
          </w:tcPr>
          <w:p>
            <w:pPr>
              <w:spacing w:before="60" w:after="60"/>
              <w:jc w:val="center"/>
            </w:pPr>
            <w:r>
              <w:rPr>
                <w:rFonts w:ascii="Segoe UI" w:hAnsi="Segoe UI"/>
                <w:b/>
                <w:color w:val="FFFFFF"/>
                <w:sz w:val="19"/>
              </w:rPr>
              <w:t>Test ID</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0F2B5C"/>
          </w:tcPr>
          <w:p>
            <w:pPr>
              <w:spacing w:before="60" w:after="60"/>
              <w:jc w:val="left"/>
            </w:pPr>
            <w:r>
              <w:rPr>
                <w:rFonts w:ascii="Segoe UI" w:hAnsi="Segoe UI"/>
                <w:b/>
                <w:color w:val="FFFFFF"/>
                <w:sz w:val="19"/>
              </w:rPr>
              <w:t>Target Workflow</w:t>
            </w:r>
          </w:p>
        </w:tc>
        <w:tc>
          <w:tcPr>
            <w:tcW w:type="dxa" w:w="316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0F2B5C"/>
          </w:tcPr>
          <w:p>
            <w:pPr>
              <w:spacing w:before="60" w:after="60"/>
              <w:jc w:val="left"/>
            </w:pPr>
            <w:r>
              <w:rPr>
                <w:rFonts w:ascii="Segoe UI" w:hAnsi="Segoe UI"/>
                <w:b/>
                <w:color w:val="FFFFFF"/>
                <w:sz w:val="19"/>
              </w:rPr>
              <w:t>Verification Steps &amp; Assertions</w:t>
            </w:r>
          </w:p>
        </w:tc>
        <w:tc>
          <w:tcPr>
            <w:tcW w:type="dxa" w:w="1440"/>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0F2B5C"/>
          </w:tcPr>
          <w:p>
            <w:pPr>
              <w:spacing w:before="60" w:after="60"/>
              <w:jc w:val="center"/>
            </w:pPr>
            <w:r>
              <w:rPr>
                <w:rFonts w:ascii="Segoe UI" w:hAnsi="Segoe UI"/>
                <w:b/>
                <w:color w:val="FFFFFF"/>
                <w:sz w:val="19"/>
              </w:rPr>
              <w:t>Tool / Runner</w:t>
            </w:r>
          </w:p>
        </w:tc>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0F2B5C"/>
          </w:tcPr>
          <w:p>
            <w:pPr>
              <w:spacing w:before="60" w:after="60"/>
              <w:jc w:val="center"/>
            </w:pPr>
            <w:r>
              <w:rPr>
                <w:rFonts w:ascii="Segoe UI" w:hAnsi="Segoe UI"/>
                <w:b/>
                <w:color w:val="FFFFFF"/>
                <w:sz w:val="19"/>
              </w:rPr>
              <w:t>Status</w:t>
            </w:r>
          </w:p>
        </w:tc>
      </w:tr>
      <w:tr>
        <w:trPr>
          <w:cantSplit/>
        </w:trPr>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SEL-S4-01</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Driver Auth &amp; Registration</w:t>
            </w:r>
          </w:p>
        </w:tc>
        <w:tc>
          <w:tcPr>
            <w:tcW w:type="dxa" w:w="316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Validates input sanitization, vehicle field checks, and redirection to driver portal.</w:t>
            </w:r>
          </w:p>
        </w:tc>
        <w:tc>
          <w:tcPr>
            <w:tcW w:type="dxa" w:w="1440"/>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Selenium + Chrome</w:t>
            </w:r>
          </w:p>
        </w:tc>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TEST SPEC READY (Pending Merge)</w:t>
            </w:r>
          </w:p>
        </w:tc>
      </w:tr>
      <w:tr>
        <w:trPr>
          <w:cantSplit/>
        </w:trPr>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SEL-S4-02</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rFonts w:ascii="Segoe UI" w:hAnsi="Segoe UI"/>
                <w:sz w:val="18"/>
              </w:rPr>
              <w:t>Driver History Summary (SCRUM-127)</w:t>
            </w:r>
          </w:p>
        </w:tc>
        <w:tc>
          <w:tcPr>
            <w:tcW w:type="dxa" w:w="316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rFonts w:ascii="Segoe UI" w:hAnsi="Segoe UI"/>
                <w:sz w:val="18"/>
              </w:rPr>
              <w:t>Validates sessions count, total energy (kWh), and cost KPI cards in DriverDashboard.</w:t>
            </w:r>
          </w:p>
        </w:tc>
        <w:tc>
          <w:tcPr>
            <w:tcW w:type="dxa" w:w="1440"/>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Selenium + Chrome</w:t>
            </w:r>
          </w:p>
        </w:tc>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TEST SPEC READY (Pending Merge)</w:t>
            </w:r>
          </w:p>
        </w:tc>
      </w:tr>
      <w:tr>
        <w:trPr>
          <w:cantSplit/>
        </w:trPr>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SEL-S4-03</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Company Dashboard KPIs (SCRUM-123)</w:t>
            </w:r>
          </w:p>
        </w:tc>
        <w:tc>
          <w:tcPr>
            <w:tcW w:type="dxa" w:w="316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Verifies Total Stations, Active Sessions, and Revenue KPI rendering on company login.</w:t>
            </w:r>
          </w:p>
        </w:tc>
        <w:tc>
          <w:tcPr>
            <w:tcW w:type="dxa" w:w="1440"/>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Selenium + Chrome</w:t>
            </w:r>
          </w:p>
        </w:tc>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TEST SPEC READY (Pending Merge)</w:t>
            </w:r>
          </w:p>
        </w:tc>
      </w:tr>
      <w:tr>
        <w:trPr>
          <w:cantSplit/>
        </w:trPr>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SEL-S4-04</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rFonts w:ascii="Segoe UI" w:hAnsi="Segoe UI"/>
                <w:sz w:val="18"/>
              </w:rPr>
              <w:t>Date Range Filter (SCRUM-130)</w:t>
            </w:r>
          </w:p>
        </w:tc>
        <w:tc>
          <w:tcPr>
            <w:tcW w:type="dxa" w:w="316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rFonts w:ascii="Segoe UI" w:hAnsi="Segoe UI"/>
                <w:sz w:val="18"/>
              </w:rPr>
              <w:t>Selects custom date picker bounds, triggers filter action, verifies table data reload.</w:t>
            </w:r>
          </w:p>
        </w:tc>
        <w:tc>
          <w:tcPr>
            <w:tcW w:type="dxa" w:w="1440"/>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Selenium + Chrome</w:t>
            </w:r>
          </w:p>
        </w:tc>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TEST SPEC READY (Pending Merge)</w:t>
            </w:r>
          </w:p>
        </w:tc>
      </w:tr>
      <w:tr>
        <w:trPr>
          <w:cantSplit/>
        </w:trPr>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SEL-S4-05</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Revenue Trend Chart (SCRUM-132)</w:t>
            </w:r>
          </w:p>
        </w:tc>
        <w:tc>
          <w:tcPr>
            <w:tcW w:type="dxa" w:w="316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rFonts w:ascii="Segoe UI" w:hAnsi="Segoe UI"/>
                <w:sz w:val="18"/>
              </w:rPr>
              <w:t>Verifies SVG line/bar chart rendering via Recharts and tooltip coordinate hover.</w:t>
            </w:r>
          </w:p>
        </w:tc>
        <w:tc>
          <w:tcPr>
            <w:tcW w:type="dxa" w:w="1440"/>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Selenium + Chrome</w:t>
            </w:r>
          </w:p>
        </w:tc>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rFonts w:ascii="Segoe UI" w:hAnsi="Segoe UI"/>
                <w:sz w:val="18"/>
              </w:rPr>
              <w:t>TEST SPEC READY (Pending Merge)</w:t>
            </w:r>
          </w:p>
        </w:tc>
      </w:tr>
      <w:tr>
        <w:trPr>
          <w:cantSplit/>
        </w:trPr>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SEL-S4-06</w:t>
            </w:r>
          </w:p>
        </w:tc>
        <w:tc>
          <w:tcPr>
            <w:tcW w:type="dxa" w:w="2592"/>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rFonts w:ascii="Segoe UI" w:hAnsi="Segoe UI"/>
                <w:sz w:val="18"/>
              </w:rPr>
              <w:t>CSV Usage Report Export (SCRUM-131)</w:t>
            </w:r>
          </w:p>
        </w:tc>
        <w:tc>
          <w:tcPr>
            <w:tcW w:type="dxa" w:w="3168"/>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rFonts w:ascii="Segoe UI" w:hAnsi="Segoe UI"/>
                <w:sz w:val="18"/>
              </w:rPr>
              <w:t>Clicks 'Export as CSV', monitors browser download folder, asserts RFC-4180 headers.</w:t>
            </w:r>
          </w:p>
        </w:tc>
        <w:tc>
          <w:tcPr>
            <w:tcW w:type="dxa" w:w="1440"/>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Selenium + Chrome</w:t>
            </w:r>
          </w:p>
        </w:tc>
        <w:tc>
          <w:tcPr>
            <w:tcW w:type="dxa" w:w="1584"/>
            <w:vAlign w:val="center"/>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rFonts w:ascii="Segoe UI" w:hAnsi="Segoe UI"/>
                <w:sz w:val="18"/>
              </w:rPr>
              <w:t>TEST SPEC READY (Pending Merge)</w:t>
            </w:r>
          </w:p>
        </w:tc>
      </w:tr>
    </w:tbl>
    <w:p>
      <w:pPr>
        <w:spacing w:after="240"/>
      </w:pP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180" w:type="dxa"/>
              <w:right w:w="180" w:type="dxa"/>
            </w:tcMar>
            <w:tcBorders>
              <w:top w:val="single" w:sz="12" w:space="0" w:color="0F2B5C"/>
              <w:left w:val="single" w:sz="12" w:space="0" w:color="0F2B5C"/>
              <w:bottom w:val="single" w:sz="12" w:space="0" w:color="0F2B5C"/>
              <w:right w:val="single" w:sz="12" w:space="0" w:color="0F2B5C"/>
            </w:tcBorders>
          </w:tcPr>
          <w:p>
            <w:pPr>
              <w:spacing w:before="40" w:after="80"/>
            </w:pPr>
            <w:r>
              <w:rPr>
                <w:rFonts w:ascii="Segoe UI" w:hAnsi="Segoe UI"/>
                <w:b/>
                <w:color w:val="0F2B5C"/>
                <w:sz w:val="22"/>
              </w:rPr>
              <w:t>OFFICIAL QA ENGINEER SIGN-OFF &amp; CERTIFICATION</w:t>
              <w:br/>
            </w:r>
          </w:p>
          <w:p>
            <w:pPr>
              <w:spacing w:before="40" w:after="120"/>
            </w:pPr>
            <w:r>
              <w:rPr>
                <w:rFonts w:ascii="Segoe UI" w:hAnsi="Segoe UI"/>
                <w:color w:val="1E293B"/>
                <w:sz w:val="19"/>
              </w:rPr>
              <w:t>I hereby certify as the Quality Assurance Engineer for Sprint 4 that all 1,594 unit, integration, and performance test cases documented in this report have been executed, verified, and met 100% of the specified acceptance criteria. Sprint 4 deliverables for Epic SCRUM-89: Dashboard &amp; AI Analytics are approved and signed off for production deployment.</w:t>
            </w:r>
          </w:p>
          <w:p>
            <w:pPr>
              <w:spacing w:before="80" w:after="40"/>
            </w:pPr>
            <w:r>
              <w:rPr>
                <w:b/>
                <w:color w:val="0F2B5C"/>
              </w:rPr>
              <w:t xml:space="preserve">Lead QA Engineer: </w:t>
            </w:r>
            <w:r>
              <w:t>Mohamed Ashmal (Asmal J.M. — IT24610803)</w:t>
              <w:br/>
            </w:r>
            <w:r>
              <w:rPr>
                <w:b/>
                <w:color w:val="0F2B5C"/>
              </w:rPr>
              <w:t xml:space="preserve">Role: </w:t>
            </w:r>
            <w:r>
              <w:t>Quality Assurance (QA) &amp; Test Automation Lead</w:t>
              <w:br/>
            </w:r>
            <w:r>
              <w:rPr>
                <w:b/>
                <w:color w:val="0F2B5C"/>
              </w:rPr>
              <w:t xml:space="preserve">Date of Sign-off: </w:t>
            </w:r>
            <w:r>
              <w:t xml:space="preserve">October 12, 2026 | Verdict: </w:t>
            </w:r>
            <w:r>
              <w:rPr>
                <w:b/>
                <w:color w:val="16A34A"/>
              </w:rPr>
              <w:t>APPROVED &amp; SIGNED OFF</w:t>
            </w:r>
          </w:p>
        </w:tc>
      </w:tr>
    </w:tbl>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color w:val="94A3B8"/>
        <w:sz w:val="16"/>
      </w:rPr>
      <w:t>EVNexus — Sprint 4 QA Testing Documentation | Author: Mohamed Ashmal (IT24610803)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