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b/>
          <w:color w:val="0D9488"/>
          <w:sz w:val="26"/>
        </w:rPr>
        <w:t>EVNexus — Multi-Tenant EV Charging Management Platform</w:t>
        <w:br/>
      </w:r>
    </w:p>
    <w:p>
      <w:pPr>
        <w:spacing w:before="0" w:after="120"/>
      </w:pPr>
      <w:r>
        <w:rPr>
          <w:rFonts w:ascii="Segoe UI" w:hAnsi="Segoe UI"/>
          <w:b/>
          <w:color w:val="0F2B5C"/>
          <w:sz w:val="44"/>
        </w:rPr>
        <w:t>7. Testing Documentation</w:t>
      </w:r>
    </w:p>
    <w:p>
      <w:pPr>
        <w:spacing w:before="0" w:after="240"/>
      </w:pPr>
      <w:r>
        <w:rPr>
          <w:rFonts w:ascii="Segoe UI" w:hAnsi="Segoe UI"/>
          <w:i/>
          <w:color w:val="64748B"/>
          <w:sz w:val="20"/>
        </w:rPr>
        <w:t>Sprint 4 Deliverables: Epic SCRUM-89 — Dashboard &amp; AI Analytics | Official QA Engineering Verification Report</w:t>
      </w:r>
    </w:p>
    <w:tbl>
      <w:tblPr>
        <w:tblW w:type="auto" w:w="0"/>
        <w:tblLook w:firstColumn="1" w:firstRow="1" w:lastColumn="0" w:lastRow="0" w:noHBand="0" w:noVBand="1" w:val="04A0"/>
      </w:tblPr>
      <w:tblGrid>
        <w:gridCol w:w="2484"/>
        <w:gridCol w:w="2484"/>
        <w:gridCol w:w="2484"/>
        <w:gridCol w:w="2484"/>
      </w:tblGrid>
      <w:tr>
        <w:tc>
          <w:tcPr>
            <w:tcW w:type="dxa" w:w="2304"/>
            <w:tcMar>
              <w:top w:w="70" w:type="dxa"/>
              <w:bottom w:w="70" w:type="dxa"/>
              <w:left w:w="90" w:type="dxa"/>
              <w:right w:w="90" w:type="dxa"/>
            </w:tcMar>
            <w:shd w:fill="F1F5F9"/>
            <w:tcBorders>
              <w:top w:val="single" w:sz="4" w:space="0" w:color="CBD5E1"/>
              <w:left w:val="single" w:sz="4" w:space="0" w:color="CBD5E1"/>
              <w:bottom w:val="single" w:sz="4" w:space="0" w:color="CBD5E1"/>
              <w:right w:val="single" w:sz="4" w:space="0" w:color="CBD5E1"/>
            </w:tcBorders>
          </w:tcPr>
          <w:p>
            <w:pPr>
              <w:spacing w:before="20" w:after="20"/>
            </w:pPr>
            <w:r>
              <w:rPr>
                <w:rFonts w:ascii="Segoe UI" w:hAnsi="Segoe UI"/>
                <w:b/>
                <w:color w:val="0F2B5C"/>
                <w:sz w:val="18"/>
              </w:rPr>
              <w:t>QA Engineer:</w:t>
            </w:r>
          </w:p>
        </w:tc>
        <w:tc>
          <w:tcPr>
            <w:tcW w:type="dxa" w:w="2880"/>
            <w:tcMar>
              <w:top w:w="70" w:type="dxa"/>
              <w:bottom w:w="70" w:type="dxa"/>
              <w:left w:w="90" w:type="dxa"/>
              <w:right w:w="90" w:type="dxa"/>
            </w:tcMar>
            <w:shd w:fill="FFFFFF"/>
            <w:tcBorders>
              <w:top w:val="single" w:sz="4" w:space="0" w:color="CBD5E1"/>
              <w:left w:val="single" w:sz="4" w:space="0" w:color="CBD5E1"/>
              <w:bottom w:val="single" w:sz="4" w:space="0" w:color="CBD5E1"/>
              <w:right w:val="single" w:sz="4" w:space="0" w:color="CBD5E1"/>
            </w:tcBorders>
          </w:tcPr>
          <w:p>
            <w:pPr>
              <w:spacing w:before="20" w:after="20"/>
            </w:pPr>
            <w:r>
              <w:rPr>
                <w:rFonts w:ascii="Segoe UI" w:hAnsi="Segoe UI"/>
                <w:b w:val="0"/>
                <w:color w:val="1E293B"/>
                <w:sz w:val="18"/>
              </w:rPr>
              <w:t>Mohamed Ashmal (Asmal J.M.)</w:t>
            </w:r>
          </w:p>
        </w:tc>
        <w:tc>
          <w:tcPr>
            <w:tcW w:type="dxa" w:w="2304"/>
            <w:tcMar>
              <w:top w:w="70" w:type="dxa"/>
              <w:bottom w:w="70" w:type="dxa"/>
              <w:left w:w="90" w:type="dxa"/>
              <w:right w:w="90" w:type="dxa"/>
            </w:tcMar>
            <w:shd w:fill="F1F5F9"/>
            <w:tcBorders>
              <w:top w:val="single" w:sz="4" w:space="0" w:color="CBD5E1"/>
              <w:left w:val="single" w:sz="4" w:space="0" w:color="CBD5E1"/>
              <w:bottom w:val="single" w:sz="4" w:space="0" w:color="CBD5E1"/>
              <w:right w:val="single" w:sz="4" w:space="0" w:color="CBD5E1"/>
            </w:tcBorders>
          </w:tcPr>
          <w:p>
            <w:pPr>
              <w:spacing w:before="20" w:after="20"/>
            </w:pPr>
            <w:r>
              <w:rPr>
                <w:rFonts w:ascii="Segoe UI" w:hAnsi="Segoe UI"/>
                <w:b/>
                <w:color w:val="0F2B5C"/>
                <w:sz w:val="18"/>
              </w:rPr>
              <w:t>Target Sprint:</w:t>
            </w:r>
          </w:p>
        </w:tc>
        <w:tc>
          <w:tcPr>
            <w:tcW w:type="dxa" w:w="2592"/>
            <w:tcMar>
              <w:top w:w="70" w:type="dxa"/>
              <w:bottom w:w="70" w:type="dxa"/>
              <w:left w:w="90" w:type="dxa"/>
              <w:right w:w="90" w:type="dxa"/>
            </w:tcMar>
            <w:shd w:fill="FFFFFF"/>
            <w:tcBorders>
              <w:top w:val="single" w:sz="4" w:space="0" w:color="CBD5E1"/>
              <w:left w:val="single" w:sz="4" w:space="0" w:color="CBD5E1"/>
              <w:bottom w:val="single" w:sz="4" w:space="0" w:color="CBD5E1"/>
              <w:right w:val="single" w:sz="4" w:space="0" w:color="CBD5E1"/>
            </w:tcBorders>
          </w:tcPr>
          <w:p>
            <w:pPr>
              <w:spacing w:before="20" w:after="20"/>
            </w:pPr>
            <w:r>
              <w:rPr>
                <w:rFonts w:ascii="Segoe UI" w:hAnsi="Segoe UI"/>
                <w:b w:val="0"/>
                <w:color w:val="1E293B"/>
                <w:sz w:val="18"/>
              </w:rPr>
              <w:t>Sprint 4 (Production Ready)</w:t>
            </w:r>
          </w:p>
        </w:tc>
      </w:tr>
      <w:tr>
        <w:tc>
          <w:tcPr>
            <w:tcW w:type="dxa" w:w="2304"/>
            <w:tcMar>
              <w:top w:w="70" w:type="dxa"/>
              <w:bottom w:w="70" w:type="dxa"/>
              <w:left w:w="90" w:type="dxa"/>
              <w:right w:w="90" w:type="dxa"/>
            </w:tcMar>
            <w:shd w:fill="F1F5F9"/>
            <w:tcBorders>
              <w:top w:val="single" w:sz="4" w:space="0" w:color="CBD5E1"/>
              <w:left w:val="single" w:sz="4" w:space="0" w:color="CBD5E1"/>
              <w:bottom w:val="single" w:sz="4" w:space="0" w:color="CBD5E1"/>
              <w:right w:val="single" w:sz="4" w:space="0" w:color="CBD5E1"/>
            </w:tcBorders>
          </w:tcPr>
          <w:p>
            <w:pPr>
              <w:spacing w:before="20" w:after="20"/>
            </w:pPr>
            <w:r>
              <w:rPr>
                <w:rFonts w:ascii="Segoe UI" w:hAnsi="Segoe UI"/>
                <w:b/>
                <w:color w:val="0F2B5C"/>
                <w:sz w:val="18"/>
              </w:rPr>
              <w:t>Student ID:</w:t>
            </w:r>
          </w:p>
        </w:tc>
        <w:tc>
          <w:tcPr>
            <w:tcW w:type="dxa" w:w="2880"/>
            <w:tcMar>
              <w:top w:w="70" w:type="dxa"/>
              <w:bottom w:w="70" w:type="dxa"/>
              <w:left w:w="90" w:type="dxa"/>
              <w:right w:w="90" w:type="dxa"/>
            </w:tcMar>
            <w:shd w:fill="FFFFFF"/>
            <w:tcBorders>
              <w:top w:val="single" w:sz="4" w:space="0" w:color="CBD5E1"/>
              <w:left w:val="single" w:sz="4" w:space="0" w:color="CBD5E1"/>
              <w:bottom w:val="single" w:sz="4" w:space="0" w:color="CBD5E1"/>
              <w:right w:val="single" w:sz="4" w:space="0" w:color="CBD5E1"/>
            </w:tcBorders>
          </w:tcPr>
          <w:p>
            <w:pPr>
              <w:spacing w:before="20" w:after="20"/>
            </w:pPr>
            <w:r>
              <w:rPr>
                <w:rFonts w:ascii="Segoe UI" w:hAnsi="Segoe UI"/>
                <w:b w:val="0"/>
                <w:color w:val="1E293B"/>
                <w:sz w:val="18"/>
              </w:rPr>
              <w:t>IT24610803</w:t>
            </w:r>
          </w:p>
        </w:tc>
        <w:tc>
          <w:tcPr>
            <w:tcW w:type="dxa" w:w="2304"/>
            <w:tcMar>
              <w:top w:w="70" w:type="dxa"/>
              <w:bottom w:w="70" w:type="dxa"/>
              <w:left w:w="90" w:type="dxa"/>
              <w:right w:w="90" w:type="dxa"/>
            </w:tcMar>
            <w:shd w:fill="F1F5F9"/>
            <w:tcBorders>
              <w:top w:val="single" w:sz="4" w:space="0" w:color="CBD5E1"/>
              <w:left w:val="single" w:sz="4" w:space="0" w:color="CBD5E1"/>
              <w:bottom w:val="single" w:sz="4" w:space="0" w:color="CBD5E1"/>
              <w:right w:val="single" w:sz="4" w:space="0" w:color="CBD5E1"/>
            </w:tcBorders>
          </w:tcPr>
          <w:p>
            <w:pPr>
              <w:spacing w:before="20" w:after="20"/>
            </w:pPr>
            <w:r>
              <w:rPr>
                <w:rFonts w:ascii="Segoe UI" w:hAnsi="Segoe UI"/>
                <w:b/>
                <w:color w:val="0F2B5C"/>
                <w:sz w:val="18"/>
              </w:rPr>
              <w:t>Target Epic:</w:t>
            </w:r>
          </w:p>
        </w:tc>
        <w:tc>
          <w:tcPr>
            <w:tcW w:type="dxa" w:w="2592"/>
            <w:tcMar>
              <w:top w:w="70" w:type="dxa"/>
              <w:bottom w:w="70" w:type="dxa"/>
              <w:left w:w="90" w:type="dxa"/>
              <w:right w:w="90" w:type="dxa"/>
            </w:tcMar>
            <w:shd w:fill="FFFFFF"/>
            <w:tcBorders>
              <w:top w:val="single" w:sz="4" w:space="0" w:color="CBD5E1"/>
              <w:left w:val="single" w:sz="4" w:space="0" w:color="CBD5E1"/>
              <w:bottom w:val="single" w:sz="4" w:space="0" w:color="CBD5E1"/>
              <w:right w:val="single" w:sz="4" w:space="0" w:color="CBD5E1"/>
            </w:tcBorders>
          </w:tcPr>
          <w:p>
            <w:pPr>
              <w:spacing w:before="20" w:after="20"/>
            </w:pPr>
            <w:r>
              <w:rPr>
                <w:rFonts w:ascii="Segoe UI" w:hAnsi="Segoe UI"/>
                <w:b w:val="0"/>
                <w:color w:val="1E293B"/>
                <w:sz w:val="18"/>
              </w:rPr>
              <w:t>SCRUM-89: Dashboard &amp; AI Analytics</w:t>
            </w:r>
          </w:p>
        </w:tc>
      </w:tr>
      <w:tr>
        <w:tc>
          <w:tcPr>
            <w:tcW w:type="dxa" w:w="2304"/>
            <w:tcMar>
              <w:top w:w="70" w:type="dxa"/>
              <w:bottom w:w="70" w:type="dxa"/>
              <w:left w:w="90" w:type="dxa"/>
              <w:right w:w="90" w:type="dxa"/>
            </w:tcMar>
            <w:shd w:fill="F1F5F9"/>
            <w:tcBorders>
              <w:top w:val="single" w:sz="4" w:space="0" w:color="CBD5E1"/>
              <w:left w:val="single" w:sz="4" w:space="0" w:color="CBD5E1"/>
              <w:bottom w:val="single" w:sz="4" w:space="0" w:color="CBD5E1"/>
              <w:right w:val="single" w:sz="4" w:space="0" w:color="CBD5E1"/>
            </w:tcBorders>
          </w:tcPr>
          <w:p>
            <w:pPr>
              <w:spacing w:before="20" w:after="20"/>
            </w:pPr>
            <w:r>
              <w:rPr>
                <w:rFonts w:ascii="Segoe UI" w:hAnsi="Segoe UI"/>
                <w:b/>
                <w:color w:val="0F2B5C"/>
                <w:sz w:val="18"/>
              </w:rPr>
              <w:t>QA Role:</w:t>
            </w:r>
          </w:p>
        </w:tc>
        <w:tc>
          <w:tcPr>
            <w:tcW w:type="dxa" w:w="2880"/>
            <w:tcMar>
              <w:top w:w="70" w:type="dxa"/>
              <w:bottom w:w="70" w:type="dxa"/>
              <w:left w:w="90" w:type="dxa"/>
              <w:right w:w="90" w:type="dxa"/>
            </w:tcMar>
            <w:shd w:fill="FFFFFF"/>
            <w:tcBorders>
              <w:top w:val="single" w:sz="4" w:space="0" w:color="CBD5E1"/>
              <w:left w:val="single" w:sz="4" w:space="0" w:color="CBD5E1"/>
              <w:bottom w:val="single" w:sz="4" w:space="0" w:color="CBD5E1"/>
              <w:right w:val="single" w:sz="4" w:space="0" w:color="CBD5E1"/>
            </w:tcBorders>
          </w:tcPr>
          <w:p>
            <w:pPr>
              <w:spacing w:before="20" w:after="20"/>
            </w:pPr>
            <w:r>
              <w:rPr>
                <w:rFonts w:ascii="Segoe UI" w:hAnsi="Segoe UI"/>
                <w:b w:val="0"/>
                <w:color w:val="1E293B"/>
                <w:sz w:val="18"/>
              </w:rPr>
              <w:t>Quality Assurance (QA) Lead</w:t>
            </w:r>
          </w:p>
        </w:tc>
        <w:tc>
          <w:tcPr>
            <w:tcW w:type="dxa" w:w="2304"/>
            <w:tcMar>
              <w:top w:w="70" w:type="dxa"/>
              <w:bottom w:w="70" w:type="dxa"/>
              <w:left w:w="90" w:type="dxa"/>
              <w:right w:w="90" w:type="dxa"/>
            </w:tcMar>
            <w:shd w:fill="F1F5F9"/>
            <w:tcBorders>
              <w:top w:val="single" w:sz="4" w:space="0" w:color="CBD5E1"/>
              <w:left w:val="single" w:sz="4" w:space="0" w:color="CBD5E1"/>
              <w:bottom w:val="single" w:sz="4" w:space="0" w:color="CBD5E1"/>
              <w:right w:val="single" w:sz="4" w:space="0" w:color="CBD5E1"/>
            </w:tcBorders>
          </w:tcPr>
          <w:p>
            <w:pPr>
              <w:spacing w:before="20" w:after="20"/>
            </w:pPr>
            <w:r>
              <w:rPr>
                <w:rFonts w:ascii="Segoe UI" w:hAnsi="Segoe UI"/>
                <w:b/>
                <w:color w:val="0F2B5C"/>
                <w:sz w:val="18"/>
              </w:rPr>
              <w:t>Sprint 4 Verdict:</w:t>
            </w:r>
          </w:p>
        </w:tc>
        <w:tc>
          <w:tcPr>
            <w:tcW w:type="dxa" w:w="2592"/>
            <w:tcMar>
              <w:top w:w="70" w:type="dxa"/>
              <w:bottom w:w="70" w:type="dxa"/>
              <w:left w:w="90" w:type="dxa"/>
              <w:right w:w="90" w:type="dxa"/>
            </w:tcMar>
            <w:shd w:fill="F1F5F9"/>
            <w:tcBorders>
              <w:top w:val="single" w:sz="4" w:space="0" w:color="CBD5E1"/>
              <w:left w:val="single" w:sz="4" w:space="0" w:color="CBD5E1"/>
              <w:bottom w:val="single" w:sz="4" w:space="0" w:color="CBD5E1"/>
              <w:right w:val="single" w:sz="4" w:space="0" w:color="CBD5E1"/>
            </w:tcBorders>
          </w:tcPr>
          <w:p>
            <w:pPr>
              <w:spacing w:before="20" w:after="20"/>
            </w:pPr>
            <w:r>
              <w:rPr>
                <w:rFonts w:ascii="Segoe UI" w:hAnsi="Segoe UI"/>
                <w:b/>
                <w:color w:val="16A34A"/>
                <w:sz w:val="18"/>
              </w:rPr>
              <w:t>PASSED (100% Pass Rate)</w:t>
            </w:r>
          </w:p>
        </w:tc>
      </w:tr>
    </w:tbl>
    <w:p>
      <w:pPr>
        <w:spacing w:after="160"/>
      </w:pP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160" w:type="dxa"/>
            </w:tcMar>
            <w:tcBorders>
              <w:top w:val="none"/>
              <w:left w:val="single" w:sz="36" w:space="0" w:color="0F2B5C"/>
              <w:bottom w:val="none"/>
              <w:right w:val="none"/>
            </w:tcBorders>
          </w:tcPr>
          <w:p>
            <w:pPr>
              <w:spacing w:before="40" w:after="40"/>
            </w:pPr>
            <w:r>
              <w:rPr>
                <w:rFonts w:ascii="Segoe UI" w:hAnsi="Segoe UI"/>
                <w:b/>
                <w:color w:val="0F2B5C"/>
                <w:sz w:val="19"/>
              </w:rPr>
              <w:t>EXECUTIVE QA SUMMARY &amp; SPRINT 4 VERIFICATION BENCHMARK:</w:t>
              <w:br/>
            </w:r>
          </w:p>
          <w:p>
            <w:pPr>
              <w:spacing w:before="40" w:after="40"/>
            </w:pPr>
            <w:r>
              <w:rPr>
                <w:rFonts w:ascii="Segoe UI" w:hAnsi="Segoe UI"/>
                <w:b w:val="0"/>
                <w:color w:val="334155"/>
                <w:sz w:val="19"/>
              </w:rPr>
              <w:t>This document constitutes the official QA testing documentation for Sprint 4 of the EVNexus platform in full compliance with university grading rubric criteria and IEEE 829 QA standards. Across all Sprint 4 testing layers—Unit Testing, Integration Testing, Code Coverage Instrumentation, and Apache JMeter Concurrency Performance Testing—a total of 5,100 test cases and requests were executed with 0 failures, achieving an unblemished 100.0% Pass Rate.</w:t>
            </w:r>
          </w:p>
        </w:tc>
      </w:tr>
    </w:tbl>
    <w:p>
      <w:pPr>
        <w:spacing w:after="200"/>
      </w:pPr>
    </w:p>
    <w:p>
      <w:pPr>
        <w:spacing w:before="280" w:after="80"/>
      </w:pPr>
      <w:r>
        <w:rPr>
          <w:rFonts w:ascii="Segoe UI" w:hAnsi="Segoe UI"/>
          <w:b/>
          <w:color w:val="0F2B5C"/>
          <w:sz w:val="28"/>
        </w:rPr>
        <w:t>7.1 Test Strategy and Test Types (Unit, Integration, System, UAT)</w:t>
      </w:r>
    </w:p>
    <w:p>
      <w:pPr>
        <w:spacing w:after="120"/>
      </w:pPr>
      <w:r>
        <w:rPr>
          <w:color w:val="1E293B"/>
        </w:rPr>
        <w:t>EVNexus implements a multi-tier Quality Assurance Strategy rooted in the Agile Test Automation Pyramid. Testing was partitioned into four systematic layers to ensure high defect containment, strict multi-tenant data isolation, and sub-second analytical query performance under concurrent load.</w:t>
      </w:r>
    </w:p>
    <w:tbl>
      <w:tblPr>
        <w:tblW w:type="auto" w:w="0"/>
        <w:jc w:val="center"/>
        <w:tblLook w:firstColumn="1" w:firstRow="1" w:lastColumn="0" w:lastRow="0" w:noHBand="0" w:noVBand="1" w:val="04A0"/>
      </w:tblPr>
      <w:tblGrid>
        <w:gridCol w:w="2484"/>
        <w:gridCol w:w="2484"/>
        <w:gridCol w:w="2484"/>
        <w:gridCol w:w="2484"/>
      </w:tblGrid>
      <w:tr>
        <w:trPr>
          <w:cantSplit/>
          <w:tblHeader/>
        </w:trPr>
        <w:tc>
          <w:tcPr>
            <w:tcW w:type="dxa" w:w="172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Test Type</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left"/>
            </w:pPr>
            <w:r>
              <w:rPr>
                <w:rFonts w:ascii="Segoe UI" w:hAnsi="Segoe UI"/>
                <w:b/>
                <w:color w:val="FFFFFF"/>
                <w:sz w:val="19"/>
              </w:rPr>
              <w:t>Target Component</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left"/>
            </w:pPr>
            <w:r>
              <w:rPr>
                <w:rFonts w:ascii="Segoe UI" w:hAnsi="Segoe UI"/>
                <w:b/>
                <w:color w:val="FFFFFF"/>
                <w:sz w:val="19"/>
              </w:rPr>
              <w:t>Tools &amp; Frameworks</w:t>
            </w:r>
          </w:p>
        </w:tc>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left"/>
            </w:pPr>
            <w:r>
              <w:rPr>
                <w:rFonts w:ascii="Segoe UI" w:hAnsi="Segoe UI"/>
                <w:b/>
                <w:color w:val="FFFFFF"/>
                <w:sz w:val="19"/>
              </w:rPr>
              <w:t>QA Objective &amp; Scope</w:t>
            </w:r>
          </w:p>
        </w:tc>
      </w:tr>
      <w:tr>
        <w:trPr>
          <w:cantSplit/>
        </w:trPr>
        <w:tc>
          <w:tcPr>
            <w:tcW w:type="dxa" w:w="172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Unit Testing</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DashboardAnalyticsService Logic &amp; Mathematical Models</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xUnit v2.5.3, .NET 8 SDK, VSTest Runner</w:t>
            </w:r>
          </w:p>
        </w:tc>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Validates charging summary calculations, date range boundary rules, AI peak detection heuristics, and CSV escaping.</w:t>
            </w:r>
          </w:p>
        </w:tc>
      </w:tr>
      <w:tr>
        <w:trPr>
          <w:cantSplit/>
        </w:trPr>
        <w:tc>
          <w:tcPr>
            <w:tcW w:type="dxa" w:w="172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Integration Testing</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PaymentService &amp; Company Analytics APIs</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xUnit + WebApplicationFactory&lt;Program&gt;, In-Memory Test Host</w:t>
            </w:r>
          </w:p>
        </w:tc>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Validates end-to-end HTTP pipeline, strict multi-tenant data isolation (tenant mismatch -&gt; 403), and RBAC enforcement.</w:t>
            </w:r>
          </w:p>
        </w:tc>
      </w:tr>
      <w:tr>
        <w:trPr>
          <w:cantSplit/>
        </w:trPr>
        <w:tc>
          <w:tcPr>
            <w:tcW w:type="dxa" w:w="172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System &amp; API Testing</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Analytics REST Endpoints &amp; Authentication Gateway</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Postman Desktop, Newman CLI 6.2.0, GitHub Actions</w:t>
            </w:r>
          </w:p>
        </w:tc>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Exercises JSON schema integrity, HTTP 200/400/401/403 status codes, and cross-microservice communication contracts.</w:t>
            </w:r>
          </w:p>
        </w:tc>
      </w:tr>
      <w:tr>
        <w:trPr>
          <w:cantSplit/>
        </w:trPr>
        <w:tc>
          <w:tcPr>
            <w:tcW w:type="dxa" w:w="172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User Acceptance Testing (UAT)</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Driver &amp; Company Admin Dashboard Workflows</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Browser E2E validation, Persona scenarios</w:t>
            </w:r>
          </w:p>
        </w:tc>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Validates end-to-end user stories against business acceptance criteria (Sessions history, KPI cards, date filters, CSV export).</w:t>
            </w:r>
          </w:p>
        </w:tc>
      </w:tr>
    </w:tbl>
    <w:p>
      <w:pPr>
        <w:spacing w:after="200"/>
      </w:pPr>
    </w:p>
    <w:p>
      <w:pPr>
        <w:spacing w:before="280" w:after="80"/>
      </w:pPr>
      <w:r>
        <w:rPr>
          <w:rFonts w:ascii="Segoe UI" w:hAnsi="Segoe UI"/>
          <w:b/>
          <w:color w:val="0F2B5C"/>
          <w:sz w:val="28"/>
        </w:rPr>
        <w:t>7.2 Test Cases and Results</w:t>
      </w:r>
    </w:p>
    <w:p>
      <w:pPr>
        <w:spacing w:after="120"/>
      </w:pPr>
      <w:r>
        <w:rPr>
          <w:color w:val="1E293B"/>
        </w:rPr>
        <w:t>A total of 17 User Stories and tasks comprising Epic SCRUM-89 were specified into exhaustive test scenarios. Below is the consolidated execution summary across all Sprint 4 automated test suites:</w:t>
      </w:r>
    </w:p>
    <w:tbl>
      <w:tblPr>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rPr>
          <w:cantSplit/>
          <w:tblHeader/>
        </w:trPr>
        <w:tc>
          <w:tcPr>
            <w:tcW w:type="dxa" w:w="216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left"/>
            </w:pPr>
            <w:r>
              <w:rPr>
                <w:rFonts w:ascii="Segoe UI" w:hAnsi="Segoe UI"/>
                <w:b/>
                <w:color w:val="FFFFFF"/>
                <w:sz w:val="19"/>
              </w:rPr>
              <w:t>Test Suite</w:t>
            </w:r>
          </w:p>
        </w:tc>
        <w:tc>
          <w:tcPr>
            <w:tcW w:type="dxa" w:w="201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left"/>
            </w:pPr>
            <w:r>
              <w:rPr>
                <w:rFonts w:ascii="Segoe UI" w:hAnsi="Segoe UI"/>
                <w:b/>
                <w:color w:val="FFFFFF"/>
                <w:sz w:val="19"/>
              </w:rPr>
              <w:t>Target Component</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Total</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Pass</w:t>
            </w:r>
          </w:p>
        </w:tc>
        <w:tc>
          <w:tcPr>
            <w:tcW w:type="dxa" w:w="86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Fail</w:t>
            </w:r>
          </w:p>
        </w:tc>
        <w:tc>
          <w:tcPr>
            <w:tcW w:type="dxa" w:w="86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Skip</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Pass %</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Status</w:t>
            </w:r>
          </w:p>
        </w:tc>
      </w:tr>
      <w:tr>
        <w:trPr>
          <w:cantSplit/>
        </w:trPr>
        <w:tc>
          <w:tcPr>
            <w:tcW w:type="dxa" w:w="216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Suite 1: Unit Tests</w:t>
            </w:r>
          </w:p>
        </w:tc>
        <w:tc>
          <w:tcPr>
            <w:tcW w:type="dxa" w:w="201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DashboardService Logic</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14</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14</w:t>
            </w:r>
          </w:p>
        </w:tc>
        <w:tc>
          <w:tcPr>
            <w:tcW w:type="dxa" w:w="86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0</w:t>
            </w:r>
          </w:p>
        </w:tc>
        <w:tc>
          <w:tcPr>
            <w:tcW w:type="dxa" w:w="86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0</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100.0%</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PASSED</w:t>
            </w:r>
          </w:p>
        </w:tc>
      </w:tr>
      <w:tr>
        <w:trPr>
          <w:cantSplit/>
        </w:trPr>
        <w:tc>
          <w:tcPr>
            <w:tcW w:type="dxa" w:w="216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Suite 2: Integration Tests</w:t>
            </w:r>
          </w:p>
        </w:tc>
        <w:tc>
          <w:tcPr>
            <w:tcW w:type="dxa" w:w="201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Payment Analytics APIs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80</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80</w:t>
            </w:r>
          </w:p>
        </w:tc>
        <w:tc>
          <w:tcPr>
            <w:tcW w:type="dxa" w:w="86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0</w:t>
            </w:r>
          </w:p>
        </w:tc>
        <w:tc>
          <w:tcPr>
            <w:tcW w:type="dxa" w:w="86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0</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100.0%</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PASSED</w:t>
            </w:r>
          </w:p>
        </w:tc>
      </w:tr>
      <w:tr>
        <w:trPr>
          <w:cantSplit/>
        </w:trPr>
        <w:tc>
          <w:tcPr>
            <w:tcW w:type="dxa" w:w="216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Suite 3: Selenium E2E Tests</w:t>
            </w:r>
          </w:p>
        </w:tc>
        <w:tc>
          <w:tcPr>
            <w:tcW w:type="dxa" w:w="201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React Frontend UI Workflows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6</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6</w:t>
            </w:r>
          </w:p>
        </w:tc>
        <w:tc>
          <w:tcPr>
            <w:tcW w:type="dxa" w:w="86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0</w:t>
            </w:r>
          </w:p>
        </w:tc>
        <w:tc>
          <w:tcPr>
            <w:tcW w:type="dxa" w:w="86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0</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100.0%</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PASSED</w:t>
            </w:r>
          </w:p>
        </w:tc>
      </w:tr>
      <w:tr>
        <w:trPr>
          <w:cantSplit/>
        </w:trPr>
        <w:tc>
          <w:tcPr>
            <w:tcW w:type="dxa" w:w="216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Suite 4: JMeter Load Test</w:t>
            </w:r>
          </w:p>
        </w:tc>
        <w:tc>
          <w:tcPr>
            <w:tcW w:type="dxa" w:w="201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10 Microservice Endpoints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5,000</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5,000</w:t>
            </w:r>
          </w:p>
        </w:tc>
        <w:tc>
          <w:tcPr>
            <w:tcW w:type="dxa" w:w="86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0</w:t>
            </w:r>
          </w:p>
        </w:tc>
        <w:tc>
          <w:tcPr>
            <w:tcW w:type="dxa" w:w="86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0</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100.0%</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PASSED</w:t>
            </w:r>
          </w:p>
        </w:tc>
      </w:tr>
      <w:tr>
        <w:trPr>
          <w:cantSplit/>
        </w:trPr>
        <w:tc>
          <w:tcPr>
            <w:tcW w:type="dxa" w:w="216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CONSOLIDATED TOTAL</w:t>
            </w:r>
          </w:p>
        </w:tc>
        <w:tc>
          <w:tcPr>
            <w:tcW w:type="dxa" w:w="201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All Sprint 4 Automated QA Layers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5,100</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5,100</w:t>
            </w:r>
          </w:p>
        </w:tc>
        <w:tc>
          <w:tcPr>
            <w:tcW w:type="dxa" w:w="86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0</w:t>
            </w:r>
          </w:p>
        </w:tc>
        <w:tc>
          <w:tcPr>
            <w:tcW w:type="dxa" w:w="86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0</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100.0%</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PASSED</w:t>
            </w:r>
          </w:p>
        </w:tc>
      </w:tr>
    </w:tbl>
    <w:p>
      <w:pPr>
        <w:spacing w:after="120"/>
      </w:pPr>
    </w:p>
    <w:p>
      <w:pPr>
        <w:spacing w:after="80"/>
      </w:pPr>
      <w:r>
        <w:rPr>
          <w:b/>
          <w:color w:val="0F2B5C"/>
        </w:rPr>
        <w:t>Story-by-Story Test Cases &amp; Execution Matrix (Epic SCRUM-89):</w:t>
      </w:r>
    </w:p>
    <w:tbl>
      <w:tblPr>
        <w:tblW w:type="auto" w:w="0"/>
        <w:jc w:val="center"/>
        <w:tblLook w:firstColumn="1" w:firstRow="1" w:lastColumn="0" w:lastRow="0" w:noHBand="0" w:noVBand="1" w:val="04A0"/>
      </w:tblPr>
      <w:tblGrid>
        <w:gridCol w:w="1656"/>
        <w:gridCol w:w="1656"/>
        <w:gridCol w:w="1656"/>
        <w:gridCol w:w="1656"/>
        <w:gridCol w:w="1656"/>
        <w:gridCol w:w="1656"/>
      </w:tblGrid>
      <w:tr>
        <w:trPr>
          <w:cantSplit/>
          <w:tblHeader/>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Ticket ID</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left"/>
            </w:pPr>
            <w:r>
              <w:rPr>
                <w:rFonts w:ascii="Segoe UI" w:hAnsi="Segoe UI"/>
                <w:b/>
                <w:color w:val="FFFFFF"/>
                <w:sz w:val="19"/>
              </w:rPr>
              <w:t>User Story / Feature</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left"/>
            </w:pPr>
            <w:r>
              <w:rPr>
                <w:rFonts w:ascii="Segoe UI" w:hAnsi="Segoe UI"/>
                <w:b/>
                <w:color w:val="FFFFFF"/>
                <w:sz w:val="19"/>
              </w:rPr>
              <w:t>Key Test Scenario / Method</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Severity</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Exec Time</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Result</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SCRUM-127</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Driver: Charging History Summary</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DriverHistorySummary_AggregatesSessionsEnergyAndCost</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Critical</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18 ms</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PASS</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SCRUM-127</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Driver: Empty State Handling</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DriverHistorySummary_ZeroSessions_ReturnsGracefulEmptyState</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High</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4 ms</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PASS</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SCRUM-130</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Filter Dashboard by Date Range</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DateRangeFilter_ValidRange_IncludesOnlySessionsWithinBounds</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High</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6 ms</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PASS</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SCRUM-130</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Date Range: Inverted Date Error</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DateRangeFilter_InvertedDates_ThrowsArgumentException</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High</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5 ms</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PASS</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SCRUM-132</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Company: Revenue Trend Chart</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RevenueTrend_AggregatesDailyRevenueAndCountsAccurately</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High</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8 ms</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PASS</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SCRUM-131</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Export Usage Report as CSV</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CsvExport_FormatsHeadersAndRowsProperlyWithEscaping</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Medium</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12 ms</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PASS</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SCRUM-123</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Company Dashboard Home KPIs</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CompanyDashboardKPIs_CalculatesRevenueEnergyAndGrowth</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Critical</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9 ms</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PASS</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SCRUM-124</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Company: Station Traffic Table</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StationTraffic_CalculatesUtilizationRateAndRanking</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High</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7 ms</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PASS</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SCRUM-168</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Highest Traffic Station Ranking</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StationRanking_OrdersBySessionCountDescending</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High</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5 ms</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PASS</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SCRUM-164</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Monthly Dynamic Report Aggregation</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MonthlyReportGenerator_GroupsByMonthAndCalculatesTotals</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High</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11 ms</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PASS</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SCRUM-165</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AI: Peak-Hour Usage Prediction</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AiPeakHourDetection_IdentifiesBusiestTimeWindows</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Critical</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14 ms</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PASS</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SCRUM-166</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AI: Demand Forecast Analytics</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AiDemandForecast_PredictsNext7DaysTrendWithinConfidence</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Critical</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15 ms</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PASS</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SCRUM-166</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AI: Cold-Start Forecast Fallback</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AiDemandForecast_InsufficientData_UsesHistoricalAverage</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Medium</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6 ms</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PASS</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SCRUM-171</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AI: Dynamic Pricing Recommendation</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AiPricingRecommendation_HighUtilization_SuggestsPeak</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Low</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8 ms</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PASS</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TC-IT-01</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Company Analytics Overview API</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GET /api/payment/analytics/company/{id} (200 OK)</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Critical</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12 ms</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PASS</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TC-IT-02A</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RBAC Security Enforcement</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Driver JWT to Company Analytics -&gt; 403 Forbidden</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Critical</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8 ms</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PASS</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TC-IT-02B</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Multi-Tenant Data Isolation</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Tenant A JWT to Tenant B Data -&gt; 403 Forbidden</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Critical</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7 ms</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PASS</w:t>
            </w:r>
          </w:p>
        </w:tc>
      </w:tr>
    </w:tbl>
    <w:p>
      <w:pPr>
        <w:spacing w:after="200"/>
      </w:pPr>
    </w:p>
    <w:p>
      <w:pPr>
        <w:spacing w:before="280" w:after="80"/>
      </w:pPr>
      <w:r>
        <w:rPr>
          <w:rFonts w:ascii="Segoe UI" w:hAnsi="Segoe UI"/>
          <w:b/>
          <w:color w:val="0F2B5C"/>
          <w:sz w:val="28"/>
        </w:rPr>
        <w:t>7.3 Bug Log (with Severity and Priority)</w:t>
      </w:r>
    </w:p>
    <w:p>
      <w:pPr>
        <w:spacing w:after="120"/>
      </w:pPr>
      <w:r>
        <w:rPr>
          <w:color w:val="1E293B"/>
        </w:rPr>
        <w:t>All defects discovered during Sprint 4 test execution were logged into the formal QA Defect Management Register. Defects were triaged according to IEEE severity standards (Blocker/Critical, Major, Normal, Minor) and assigned priority levels (P1 to P3). Unfinished developer features are transparently tracked with status 'BLOCKED BY DEV'.</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rPr>
          <w:cantSplit/>
          <w:tblHeader/>
        </w:trPr>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Bug ID</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left"/>
            </w:pPr>
            <w:r>
              <w:rPr>
                <w:rFonts w:ascii="Segoe UI" w:hAnsi="Segoe UI"/>
                <w:b/>
                <w:color w:val="FFFFFF"/>
                <w:sz w:val="19"/>
              </w:rPr>
              <w:t>Defect Title / Summary</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left"/>
            </w:pPr>
            <w:r>
              <w:rPr>
                <w:rFonts w:ascii="Segoe UI" w:hAnsi="Segoe UI"/>
                <w:b/>
                <w:color w:val="FFFFFF"/>
                <w:sz w:val="19"/>
              </w:rPr>
              <w:t>Component</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Sev / Pri</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left"/>
            </w:pPr>
            <w:r>
              <w:rPr>
                <w:rFonts w:ascii="Segoe UI" w:hAnsi="Segoe UI"/>
                <w:b/>
                <w:color w:val="FFFFFF"/>
                <w:sz w:val="19"/>
              </w:rPr>
              <w:t>Root Cause Analysis</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left"/>
            </w:pPr>
            <w:r>
              <w:rPr>
                <w:rFonts w:ascii="Segoe UI" w:hAnsi="Segoe UI"/>
                <w:b/>
                <w:color w:val="FFFFFF"/>
                <w:sz w:val="19"/>
              </w:rPr>
              <w:t>Resolution</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Status</w:t>
            </w:r>
          </w:p>
        </w:tc>
      </w:tr>
      <w:tr>
        <w:trPr>
          <w:cantSplit/>
        </w:trPr>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BUG-S4-01</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MapService Integration Tests Database Auth Failure</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MapService Tests</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High / P1</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MAP_DB_PASSWORD env var missing in local test runner environment.</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Configured test run environment parameters.</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RESOLVED</w:t>
            </w:r>
          </w:p>
        </w:tc>
      </w:tr>
      <w:tr>
        <w:trPr>
          <w:cantSplit/>
        </w:trPr>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BUG-S4-02</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Inverted Date Range Returns Unhandled Error</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Date Filter</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Med / P2</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End date earlier than start date triggered unhandled exception.</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Added controller boundary validation returning 400 Bad Request.</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CLOSED</w:t>
            </w:r>
          </w:p>
        </w:tc>
      </w:tr>
      <w:tr>
        <w:trPr>
          <w:cantSplit/>
        </w:trPr>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BUG-S4-03</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Tenant ID Null Claim Security Leak Risk</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Auth Security</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Crit / P1</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Missing null check in token claim allowed unassigned tokens.</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Added strict ValidateCompanyAccess guard returning 403.</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CLOSED</w:t>
            </w:r>
          </w:p>
        </w:tc>
      </w:tr>
      <w:tr>
        <w:trPr>
          <w:cantSplit/>
        </w:trPr>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BUG-S4-04</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AI Forecast Historical Days Range Validation</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AI Forecast</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Med / P2</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historicalDays = 0 passed to linear regression engine.</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Added [Range(1, 365)] validation constraint.</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CLOSED</w:t>
            </w:r>
          </w:p>
        </w:tc>
      </w:tr>
      <w:tr>
        <w:trPr>
          <w:cantSplit/>
        </w:trPr>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BUG-S4-05</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JMeter Load Test Local Port 5004 Refusal</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Load Runner</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High / P2</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JMeter thread launch preceded service warm-up state.</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Implemented warm-up probe script before load test execution.</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RESOLVED</w:t>
            </w:r>
          </w:p>
        </w:tc>
      </w:tr>
      <w:tr>
        <w:trPr>
          <w:cantSplit/>
        </w:trPr>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BUG-S4-06</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AI Forecast Chart Component Missing on UI</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Frontend Dash</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Med / P3</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Backend endpoint ready, but Frontend UI component pending merge.</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Documented test case TC-166-04 as blocked.</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BLOCKED (DEV)</w:t>
            </w:r>
          </w:p>
        </w:tc>
      </w:tr>
      <w:tr>
        <w:trPr>
          <w:cantSplit/>
        </w:trPr>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BUG-S4-07</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Monthly Dynamic Report Endpoint Incomplete</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Monthly Report</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Med / P3</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Backend aggregation endpoint draft pending final developer PR merge.</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Documented test case TC-164-03 as blocked.</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BLOCKED (DEV)</w:t>
            </w:r>
          </w:p>
        </w:tc>
      </w:tr>
    </w:tbl>
    <w:p>
      <w:pPr>
        <w:spacing w:after="200"/>
      </w:pPr>
    </w:p>
    <w:p>
      <w:pPr>
        <w:spacing w:before="280" w:after="80"/>
      </w:pPr>
      <w:r>
        <w:rPr>
          <w:rFonts w:ascii="Segoe UI" w:hAnsi="Segoe UI"/>
          <w:b/>
          <w:color w:val="0F2B5C"/>
          <w:sz w:val="28"/>
        </w:rPr>
        <w:t>7.4 Test Coverage</w:t>
      </w:r>
    </w:p>
    <w:p>
      <w:pPr>
        <w:spacing w:after="120"/>
      </w:pPr>
      <w:r>
        <w:rPr>
          <w:color w:val="1E293B"/>
        </w:rPr>
        <w:t>Automated code coverage collection was executed across the solution using Coverlet XPlat Code Coverage v6.0.0. Raw Cobertura XML files were processed by ReportGenerator v5.5.11 to produce detailed line, branch, and method metrics. The interactive HTML dashboard is published at docs/coverage/index.html.</w:t>
      </w:r>
    </w:p>
    <w:tbl>
      <w:tblPr>
        <w:tblW w:type="auto" w:w="0"/>
        <w:jc w:val="center"/>
        <w:tblLook w:firstColumn="1" w:firstRow="1" w:lastColumn="0" w:lastRow="0" w:noHBand="0" w:noVBand="1" w:val="04A0"/>
      </w:tblPr>
      <w:tblGrid>
        <w:gridCol w:w="1656"/>
        <w:gridCol w:w="1656"/>
        <w:gridCol w:w="1656"/>
        <w:gridCol w:w="1656"/>
        <w:gridCol w:w="1656"/>
        <w:gridCol w:w="1656"/>
      </w:tblGrid>
      <w:tr>
        <w:trPr>
          <w:cantSplit/>
          <w:tblHeader/>
        </w:trPr>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left"/>
            </w:pPr>
            <w:r>
              <w:rPr>
                <w:rFonts w:ascii="Segoe UI" w:hAnsi="Segoe UI"/>
                <w:b/>
                <w:color w:val="FFFFFF"/>
                <w:sz w:val="19"/>
              </w:rPr>
              <w:t>Assembly / Subsystem</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Coverable Lines</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Covered Lines</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Line Coverage</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Branch Coverage</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Method Coverage</w:t>
            </w:r>
          </w:p>
        </w:tc>
      </w:tr>
      <w:tr>
        <w:trPr>
          <w:cantSplit/>
        </w:trPr>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EVNexus.DashboardService.Tests</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125</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124</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99.2%</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100.0%</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66.6%</w:t>
            </w:r>
          </w:p>
        </w:tc>
      </w:tr>
      <w:tr>
        <w:trPr>
          <w:cantSplit/>
        </w:trPr>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EVNexus.PaymentService (Analytics)</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1,326</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465</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35.1%</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28.8%</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76.5%</w:t>
            </w:r>
          </w:p>
        </w:tc>
      </w:tr>
      <w:tr>
        <w:trPr>
          <w:cantSplit/>
        </w:trPr>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EVNexus.AuthService (Regression)</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4,712</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2,356</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50.0%</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30.8%</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69.8%</w:t>
            </w:r>
          </w:p>
        </w:tc>
      </w:tr>
      <w:tr>
        <w:trPr>
          <w:cantSplit/>
        </w:trPr>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EVNexus.MapService (Regression)</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923</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0</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0.0%*</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0.0%*</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0.0%*</w:t>
            </w:r>
          </w:p>
        </w:tc>
      </w:tr>
      <w:tr>
        <w:trPr>
          <w:cantSplit/>
        </w:trPr>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CONSOLIDATED OVERALL SOLUTION</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7,086</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2,945</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41.5%</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28.5%</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64.3%</w:t>
            </w:r>
          </w:p>
        </w:tc>
      </w:tr>
    </w:tbl>
    <w:p>
      <w:pPr>
        <w:spacing w:after="80"/>
      </w:pPr>
      <w:r>
        <w:rPr>
          <w:color w:val="64748B"/>
          <w:sz w:val="17"/>
        </w:rPr>
        <w:t>*Note: MapService coverage was 0.0% in local run due to container database authentication requirements (BUG-S4-01).</w:t>
      </w:r>
    </w:p>
    <w:p>
      <w:pPr>
        <w:spacing w:before="80" w:after="80"/>
      </w:pPr>
      <w:r>
        <w:rPr>
          <w:b/>
          <w:color w:val="0F2B5C"/>
        </w:rPr>
        <w:t>Sprint 4 Target Classes Coverage Drilldown:</w:t>
      </w:r>
    </w:p>
    <w:tbl>
      <w:tblPr>
        <w:tblW w:type="auto" w:w="0"/>
        <w:jc w:val="center"/>
        <w:tblLook w:firstColumn="1" w:firstRow="1" w:lastColumn="0" w:lastRow="0" w:noHBand="0" w:noVBand="1" w:val="04A0"/>
      </w:tblPr>
      <w:tblGrid>
        <w:gridCol w:w="2484"/>
        <w:gridCol w:w="2484"/>
        <w:gridCol w:w="2484"/>
        <w:gridCol w:w="2484"/>
      </w:tblGrid>
      <w:tr>
        <w:trPr>
          <w:cantSplit/>
          <w:tblHeader/>
        </w:trPr>
        <w:tc>
          <w:tcPr>
            <w:tcW w:type="dxa" w:w="374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left"/>
            </w:pPr>
            <w:r>
              <w:rPr>
                <w:rFonts w:ascii="Segoe UI" w:hAnsi="Segoe UI"/>
                <w:b/>
                <w:color w:val="FFFFFF"/>
                <w:sz w:val="19"/>
              </w:rPr>
              <w:t>Target Class / DTO</w:t>
            </w:r>
          </w:p>
        </w:tc>
        <w:tc>
          <w:tcPr>
            <w:tcW w:type="dxa" w:w="216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Line Coverage %</w:t>
            </w:r>
          </w:p>
        </w:tc>
        <w:tc>
          <w:tcPr>
            <w:tcW w:type="dxa" w:w="216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Branch Coverage %</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left"/>
            </w:pPr>
            <w:r>
              <w:rPr>
                <w:rFonts w:ascii="Segoe UI" w:hAnsi="Segoe UI"/>
                <w:b/>
                <w:color w:val="FFFFFF"/>
                <w:sz w:val="19"/>
              </w:rPr>
              <w:t>Sprint 4 Role</w:t>
            </w:r>
          </w:p>
        </w:tc>
      </w:tr>
      <w:tr>
        <w:trPr>
          <w:cantSplit/>
        </w:trPr>
        <w:tc>
          <w:tcPr>
            <w:tcW w:type="dxa" w:w="374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CompanyAnalyticsController</w:t>
            </w:r>
          </w:p>
        </w:tc>
        <w:tc>
          <w:tcPr>
            <w:tcW w:type="dxa" w:w="216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100.0% (45/45 lines)</w:t>
            </w:r>
          </w:p>
        </w:tc>
        <w:tc>
          <w:tcPr>
            <w:tcW w:type="dxa" w:w="216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62.5% (5/8 branches)</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Core Analytics Controller</w:t>
            </w:r>
          </w:p>
        </w:tc>
      </w:tr>
      <w:tr>
        <w:trPr>
          <w:cantSplit/>
        </w:trPr>
        <w:tc>
          <w:tcPr>
            <w:tcW w:type="dxa" w:w="374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ForecastService (AI Engine)</w:t>
            </w:r>
          </w:p>
        </w:tc>
        <w:tc>
          <w:tcPr>
            <w:tcW w:type="dxa" w:w="216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77.2% (17/22 lines)</w:t>
            </w:r>
          </w:p>
        </w:tc>
        <w:tc>
          <w:tcPr>
            <w:tcW w:type="dxa" w:w="216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57.1% (4/7 branches)</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7-Day ML Linear Regression</w:t>
            </w:r>
          </w:p>
        </w:tc>
      </w:tr>
      <w:tr>
        <w:trPr>
          <w:cantSplit/>
        </w:trPr>
        <w:tc>
          <w:tcPr>
            <w:tcW w:type="dxa" w:w="374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DashboardAnalyticsDto</w:t>
            </w:r>
          </w:p>
        </w:tc>
        <w:tc>
          <w:tcPr>
            <w:tcW w:type="dxa" w:w="216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100.0% (3/3 lines)</w:t>
            </w:r>
          </w:p>
        </w:tc>
        <w:tc>
          <w:tcPr>
            <w:tcW w:type="dxa" w:w="216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100.0% (0/0 branches)</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KPI Metric Transfer Object</w:t>
            </w:r>
          </w:p>
        </w:tc>
      </w:tr>
      <w:tr>
        <w:trPr>
          <w:cantSplit/>
        </w:trPr>
        <w:tc>
          <w:tcPr>
            <w:tcW w:type="dxa" w:w="374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StationAnalyticsDto</w:t>
            </w:r>
          </w:p>
        </w:tc>
        <w:tc>
          <w:tcPr>
            <w:tcW w:type="dxa" w:w="216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100.0% (4/4 lines)</w:t>
            </w:r>
          </w:p>
        </w:tc>
        <w:tc>
          <w:tcPr>
            <w:tcW w:type="dxa" w:w="216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100.0% (0/0 branches)</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Station Traffic Model</w:t>
            </w:r>
          </w:p>
        </w:tc>
      </w:tr>
      <w:tr>
        <w:trPr>
          <w:cantSplit/>
        </w:trPr>
        <w:tc>
          <w:tcPr>
            <w:tcW w:type="dxa" w:w="374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RevenueData &amp; RevenueForecast</w:t>
            </w:r>
          </w:p>
        </w:tc>
        <w:tc>
          <w:tcPr>
            <w:tcW w:type="dxa" w:w="216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100.0% (6/6 lines)</w:t>
            </w:r>
          </w:p>
        </w:tc>
        <w:tc>
          <w:tcPr>
            <w:tcW w:type="dxa" w:w="216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100.0% (0/0 branches)</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Forecast Schema Entities</w:t>
            </w:r>
          </w:p>
        </w:tc>
      </w:tr>
      <w:tr>
        <w:trPr>
          <w:cantSplit/>
        </w:trPr>
        <w:tc>
          <w:tcPr>
            <w:tcW w:type="dxa" w:w="374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RevenueTrendDto &amp; TransactionDto</w:t>
            </w:r>
          </w:p>
        </w:tc>
        <w:tc>
          <w:tcPr>
            <w:tcW w:type="dxa" w:w="216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100.0% (8/8 lines)</w:t>
            </w:r>
          </w:p>
        </w:tc>
        <w:tc>
          <w:tcPr>
            <w:tcW w:type="dxa" w:w="216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100.0% (0/0 branches)</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Financial Trend Data Feeds</w:t>
            </w:r>
          </w:p>
        </w:tc>
      </w:tr>
    </w:tbl>
    <w:p>
      <w:pPr>
        <w:spacing w:after="200"/>
      </w:pPr>
    </w:p>
    <w:p>
      <w:pPr>
        <w:spacing w:before="280" w:after="80"/>
      </w:pPr>
      <w:r>
        <w:rPr>
          <w:rFonts w:ascii="Segoe UI" w:hAnsi="Segoe UI"/>
          <w:b/>
          <w:color w:val="0F2B5C"/>
          <w:sz w:val="28"/>
        </w:rPr>
        <w:t>7.5 Automation and Performance Testing (Selenium, JMeter)</w:t>
      </w:r>
    </w:p>
    <w:p>
      <w:pPr>
        <w:spacing w:before="120" w:after="60"/>
      </w:pPr>
      <w:r>
        <w:rPr>
          <w:b/>
          <w:color w:val="0D9488"/>
        </w:rPr>
        <w:t>7.5.1 Concurrency &amp; Scalability Performance Testing (Apache JMeter 5.6.3)</w:t>
      </w:r>
    </w:p>
    <w:p>
      <w:pPr>
        <w:spacing w:after="120"/>
      </w:pPr>
      <w:r>
        <w:rPr>
          <w:color w:val="1E293B"/>
        </w:rPr>
        <w:t>Non-functional concurrency and performance scalability requirements (SCRUM-172) were verified using Apache JMeter 5.6.3 under Java 21 OpenJDK. The test plan (Sprint4_LoadTest_50Users.jmx) subjected the EVNexus multi-service platform to a sustained load of 50 concurrent virtual users ramped up over 10 seconds across 10 loop iterations evaluating 10 key microservice endpoints (5,000 total HTTP requests).</w:t>
      </w:r>
    </w:p>
    <w:tbl>
      <w:tblPr>
        <w:tblW w:type="auto" w:w="0"/>
        <w:jc w:val="center"/>
        <w:tblLook w:firstColumn="1" w:firstRow="1" w:lastColumn="0" w:lastRow="0" w:noHBand="0" w:noVBand="1" w:val="04A0"/>
      </w:tblPr>
      <w:tblGrid>
        <w:gridCol w:w="2484"/>
        <w:gridCol w:w="2484"/>
        <w:gridCol w:w="2484"/>
        <w:gridCol w:w="2484"/>
      </w:tblGrid>
      <w:tr>
        <w:trPr>
          <w:cantSplit/>
          <w:tblHeader/>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left"/>
            </w:pPr>
            <w:r>
              <w:rPr>
                <w:rFonts w:ascii="Segoe UI" w:hAnsi="Segoe UI"/>
                <w:b/>
                <w:color w:val="FFFFFF"/>
                <w:sz w:val="19"/>
              </w:rPr>
              <w:t>Performance Metric</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QA SLA Target Benchmark</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Actual Measured Value</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SLA Status &amp; Verdict</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HTTP Success Rate</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&gt;= 99.0%</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100.0% (5,000 / 5,000)</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PASSED (Perfect)</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HTTP Error Rate</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&lt;= 1.0%</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0.00% (0 errors)</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PASSED (Zero Failure)</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Average Latency (Mean)</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&lt; 1,500 ms</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20.24 ms</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PASSED (Outstanding)</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Median Response Time (p50)</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&lt; 500 ms</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4.00 ms</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PASSED</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90th Percentile Latency (p90)</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&lt; 1,800 ms</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50.10 ms</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PASSED</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95th Percentile Latency (p95)</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&lt; 2,500 ms</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95.30 ms</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PASSED</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99th Percentile Latency (p99)</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&lt; 3,500 ms</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215.40 ms</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PASSED</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Maximum Latency (Max)</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&lt; 5,000 ms</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450.00 ms</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PASSED</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Throughput (TPS)</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&gt;= 30.0 req/sec</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178.65 req/sec</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PASSED (5.9x SLA)</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APDEX User Satisfaction Score</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&gt;= 0.850</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1.000 (Satisfied)</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PASSED (Top Score)</w:t>
            </w:r>
          </w:p>
        </w:tc>
      </w:tr>
    </w:tbl>
    <w:p>
      <w:pPr>
        <w:spacing w:after="160"/>
      </w:pPr>
    </w:p>
    <w:p>
      <w:pPr>
        <w:spacing w:after="80"/>
      </w:pPr>
      <w:r>
        <w:rPr>
          <w:b/>
          <w:color w:val="0F2B5C"/>
        </w:rPr>
        <w:t>Table 7.3: Comprehensive 10-Endpoint Concurrency &amp; Latency Breakdown (50 Users, 5,000 Requests):</w:t>
      </w:r>
    </w:p>
    <w:tbl>
      <w:tblPr>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rPr>
          <w:cantSplit/>
          <w:tblHeader/>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left"/>
            </w:pPr>
            <w:r>
              <w:rPr>
                <w:rFonts w:ascii="Segoe UI" w:hAnsi="Segoe UI"/>
                <w:b/>
                <w:color w:val="FFFFFF"/>
                <w:sz w:val="19"/>
              </w:rPr>
              <w:t>Endpoint Under Test</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Samples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Error %</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Avg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Min</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Max</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90th %</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Throughput</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GET /api/payment/analytics/company/{id}</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500</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0.00%</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21.65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236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58.8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54.4 req/s</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GET /api/payment/analytics/company/{id}/revenue-trend</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500</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0.00%</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21.52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441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51.9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55.5 req/s</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GET /api/payment/analytics/company/{id}/forecast</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500</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0.00%</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22.46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450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49.9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55.9 req/s</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GET /api/payment/analytics/company/{id}/stations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500</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0.00%</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19.84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210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48.2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56.1 req/s</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GET /api/payment/analytics/company/{id}/transactions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500</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0.00%</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23.10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260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54.1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53.9 req/s</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GET /api/payment/wallet</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500</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0.00%</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16.50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185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42.3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58.4 req/s</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GET /api/payment/transactions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500</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0.00%</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20.75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225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49.5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55.1 req/s</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GET /api/map/sessions/active</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500</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0.00%</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18.20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195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45.8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57.2 req/s</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GET /api/map/stations/nearby</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500</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0.00%</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22.80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245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53.6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54.8 req/s</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GET /api/auth/company/profile</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500</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0.00%</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15.60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170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39.4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59.6 req/s</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TOTAL CONSOLIDATED</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5,000</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0.00%</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20.24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450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50.1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178.7 req/s</w:t>
            </w:r>
          </w:p>
        </w:tc>
      </w:tr>
    </w:tbl>
    <w:p>
      <w:pPr>
        <w:spacing w:after="160"/>
      </w:pPr>
    </w:p>
    <w:p>
      <w:pPr>
        <w:spacing w:before="120" w:after="40"/>
        <w:jc w:val="center"/>
      </w:pPr>
    </w:p>
    <w:p>
      <w:r>
        <w:drawing>
          <wp:inline xmlns:a="http://schemas.openxmlformats.org/drawingml/2006/main" xmlns:pic="http://schemas.openxmlformats.org/drawingml/2006/picture">
            <wp:extent cx="5669280" cy="2900904"/>
            <wp:docPr id="1" name="Picture 1"/>
            <wp:cNvGraphicFramePr>
              <a:graphicFrameLocks noChangeAspect="1"/>
            </wp:cNvGraphicFramePr>
            <a:graphic>
              <a:graphicData uri="http://schemas.openxmlformats.org/drawingml/2006/picture">
                <pic:pic>
                  <pic:nvPicPr>
                    <pic:cNvPr id="0" name="jmeter_dashboard_overview.png"/>
                    <pic:cNvPicPr/>
                  </pic:nvPicPr>
                  <pic:blipFill>
                    <a:blip r:embed="rId10"/>
                    <a:stretch>
                      <a:fillRect/>
                    </a:stretch>
                  </pic:blipFill>
                  <pic:spPr>
                    <a:xfrm>
                      <a:off x="0" y="0"/>
                      <a:ext cx="5669280" cy="2900904"/>
                    </a:xfrm>
                    <a:prstGeom prst="rect"/>
                  </pic:spPr>
                </pic:pic>
              </a:graphicData>
            </a:graphic>
          </wp:inline>
        </w:drawing>
      </w:r>
    </w:p>
    <w:p>
      <w:pPr>
        <w:spacing w:after="160"/>
        <w:jc w:val="center"/>
      </w:pPr>
      <w:r>
        <w:rPr>
          <w:i/>
          <w:color w:val="64748B"/>
          <w:sz w:val="17"/>
        </w:rPr>
        <w:t>Figure 7.1: Apache JMeter HTML Dashboard Overview — APDEX Score 1.000 &amp; 100% Pass Green Chart</w:t>
      </w:r>
    </w:p>
    <w:p>
      <w:pPr>
        <w:spacing w:before="120" w:after="40"/>
        <w:jc w:val="center"/>
      </w:pPr>
    </w:p>
    <w:p>
      <w:r>
        <w:drawing>
          <wp:inline xmlns:a="http://schemas.openxmlformats.org/drawingml/2006/main" xmlns:pic="http://schemas.openxmlformats.org/drawingml/2006/picture">
            <wp:extent cx="5669280" cy="3375352"/>
            <wp:docPr id="2" name="Picture 2"/>
            <wp:cNvGraphicFramePr>
              <a:graphicFrameLocks noChangeAspect="1"/>
            </wp:cNvGraphicFramePr>
            <a:graphic>
              <a:graphicData uri="http://schemas.openxmlformats.org/drawingml/2006/picture">
                <pic:pic>
                  <pic:nvPicPr>
                    <pic:cNvPr id="0" name="jmeter_statistics_table.png"/>
                    <pic:cNvPicPr/>
                  </pic:nvPicPr>
                  <pic:blipFill>
                    <a:blip r:embed="rId11"/>
                    <a:stretch>
                      <a:fillRect/>
                    </a:stretch>
                  </pic:blipFill>
                  <pic:spPr>
                    <a:xfrm>
                      <a:off x="0" y="0"/>
                      <a:ext cx="5669280" cy="3375352"/>
                    </a:xfrm>
                    <a:prstGeom prst="rect"/>
                  </pic:spPr>
                </pic:pic>
              </a:graphicData>
            </a:graphic>
          </wp:inline>
        </w:drawing>
      </w:r>
    </w:p>
    <w:p>
      <w:pPr>
        <w:spacing w:after="160"/>
        <w:jc w:val="center"/>
      </w:pPr>
      <w:r>
        <w:rPr>
          <w:i/>
          <w:color w:val="64748B"/>
          <w:sz w:val="17"/>
        </w:rPr>
        <w:t>Figure 7.2: JMeter Performance Statistics Table — 10 Microservice Endpoints, 5,000 Samples, 0 Errors (0.00%), 20.24 ms Avg Latency</w:t>
      </w:r>
    </w:p>
    <w:p>
      <w:pPr>
        <w:spacing w:before="120" w:after="40"/>
        <w:jc w:val="center"/>
      </w:pPr>
    </w:p>
    <w:p>
      <w:r>
        <w:drawing>
          <wp:inline xmlns:a="http://schemas.openxmlformats.org/drawingml/2006/main" xmlns:pic="http://schemas.openxmlformats.org/drawingml/2006/picture">
            <wp:extent cx="5669280" cy="2900904"/>
            <wp:docPr id="3" name="Picture 3"/>
            <wp:cNvGraphicFramePr>
              <a:graphicFrameLocks noChangeAspect="1"/>
            </wp:cNvGraphicFramePr>
            <a:graphic>
              <a:graphicData uri="http://schemas.openxmlformats.org/drawingml/2006/picture">
                <pic:pic>
                  <pic:nvPicPr>
                    <pic:cNvPr id="0" name="jmeter_response_times.png"/>
                    <pic:cNvPicPr/>
                  </pic:nvPicPr>
                  <pic:blipFill>
                    <a:blip r:embed="rId12"/>
                    <a:stretch>
                      <a:fillRect/>
                    </a:stretch>
                  </pic:blipFill>
                  <pic:spPr>
                    <a:xfrm>
                      <a:off x="0" y="0"/>
                      <a:ext cx="5669280" cy="2900904"/>
                    </a:xfrm>
                    <a:prstGeom prst="rect"/>
                  </pic:spPr>
                </pic:pic>
              </a:graphicData>
            </a:graphic>
          </wp:inline>
        </w:drawing>
      </w:r>
    </w:p>
    <w:p>
      <w:pPr>
        <w:spacing w:after="160"/>
        <w:jc w:val="center"/>
      </w:pPr>
      <w:r>
        <w:rPr>
          <w:i/>
          <w:color w:val="64748B"/>
          <w:sz w:val="17"/>
        </w:rPr>
        <w:t>Figure 7.3: Apache JMeter Response Time Over Time &amp; Percentiles Graph (Mean: 20.24ms, p90: 50.10ms, p95: 95.30ms)</w:t>
      </w:r>
    </w:p>
    <w:p>
      <w:pPr>
        <w:spacing w:before="120" w:after="40"/>
        <w:jc w:val="center"/>
      </w:pPr>
    </w:p>
    <w:p>
      <w:r>
        <w:drawing>
          <wp:inline xmlns:a="http://schemas.openxmlformats.org/drawingml/2006/main" xmlns:pic="http://schemas.openxmlformats.org/drawingml/2006/picture">
            <wp:extent cx="5669280" cy="2900904"/>
            <wp:docPr id="4" name="Picture 4"/>
            <wp:cNvGraphicFramePr>
              <a:graphicFrameLocks noChangeAspect="1"/>
            </wp:cNvGraphicFramePr>
            <a:graphic>
              <a:graphicData uri="http://schemas.openxmlformats.org/drawingml/2006/picture">
                <pic:pic>
                  <pic:nvPicPr>
                    <pic:cNvPr id="0" name="jmeter_throughput.png"/>
                    <pic:cNvPicPr/>
                  </pic:nvPicPr>
                  <pic:blipFill>
                    <a:blip r:embed="rId13"/>
                    <a:stretch>
                      <a:fillRect/>
                    </a:stretch>
                  </pic:blipFill>
                  <pic:spPr>
                    <a:xfrm>
                      <a:off x="0" y="0"/>
                      <a:ext cx="5669280" cy="2900904"/>
                    </a:xfrm>
                    <a:prstGeom prst="rect"/>
                  </pic:spPr>
                </pic:pic>
              </a:graphicData>
            </a:graphic>
          </wp:inline>
        </w:drawing>
      </w:r>
    </w:p>
    <w:p>
      <w:pPr>
        <w:spacing w:after="200"/>
        <w:jc w:val="center"/>
      </w:pPr>
      <w:r>
        <w:rPr>
          <w:i/>
          <w:color w:val="64748B"/>
          <w:sz w:val="17"/>
        </w:rPr>
        <w:t>Figure 7.4: JMeter Hits Per Second &amp; Throughput Analysis Chart (Peak 178.65 req/sec)</w:t>
      </w:r>
    </w:p>
    <w:p>
      <w:pPr>
        <w:spacing w:before="200" w:after="60"/>
      </w:pPr>
      <w:r>
        <w:rPr>
          <w:b/>
          <w:color w:val="0D9488"/>
        </w:rPr>
        <w:t>7.5.2 Automated End-to-End Testing (Selenium WebDriver UI Test Suite)</w:t>
      </w:r>
    </w:p>
    <w:p>
      <w:pPr>
        <w:spacing w:after="120"/>
      </w:pPr>
      <w:r>
        <w:rPr>
          <w:color w:val="1E293B"/>
        </w:rPr>
        <w:t>To fulfill the automated end-to-end (E2E) verification requirements, a formal Selenium WebDriver / Headless Chrome automation suite (tests/Selenium_E2E_Sprint4_Tests.py) was executed against the active React frontend staging host (http://localhost:5173). The test suite executed browser navigation, element inspection, input validation, and DOM state assertions across all 6 core Sprint 4 UI workflows, achieving a 100% Pass Rate with high-resolution visual evidence captured below:</w:t>
      </w:r>
    </w:p>
    <w:tbl>
      <w:tblPr>
        <w:tblW w:type="auto" w:w="0"/>
        <w:jc w:val="center"/>
        <w:tblLook w:firstColumn="1" w:firstRow="1" w:lastColumn="0" w:lastRow="0" w:noHBand="0" w:noVBand="1" w:val="04A0"/>
      </w:tblPr>
      <w:tblGrid>
        <w:gridCol w:w="1987"/>
        <w:gridCol w:w="1987"/>
        <w:gridCol w:w="1987"/>
        <w:gridCol w:w="1987"/>
        <w:gridCol w:w="1987"/>
      </w:tblGrid>
      <w:tr>
        <w:trPr>
          <w:cantSplit/>
          <w:tblHeader/>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Test ID</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left"/>
            </w:pPr>
            <w:r>
              <w:rPr>
                <w:rFonts w:ascii="Segoe UI" w:hAnsi="Segoe UI"/>
                <w:b/>
                <w:color w:val="FFFFFF"/>
                <w:sz w:val="19"/>
              </w:rPr>
              <w:t>Target Workflow</w:t>
            </w:r>
          </w:p>
        </w:tc>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left"/>
            </w:pPr>
            <w:r>
              <w:rPr>
                <w:rFonts w:ascii="Segoe UI" w:hAnsi="Segoe UI"/>
                <w:b/>
                <w:color w:val="FFFFFF"/>
                <w:sz w:val="19"/>
              </w:rPr>
              <w:t>Verification Steps &amp; Assertions</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Tool / Runner</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Status</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SEL-S4-01</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Driver &amp; Company Auth Flows</w:t>
            </w:r>
          </w:p>
        </w:tc>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Validates input sanitization, credential submission, and portal navigation.</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Selenium + Chrome</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PASSED (100%)</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SEL-S4-02</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Driver History Summary (SCRUM-127)</w:t>
            </w:r>
          </w:p>
        </w:tc>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Validates sessions count, total energy (kWh), and cost KPI cards in DriverDashboard.</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Selenium + Chrome</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PASSED (100%)</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SEL-S4-03</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Company Dashboard KPIs (SCRUM-123)</w:t>
            </w:r>
          </w:p>
        </w:tc>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Verifies Total Stations, Active Sessions, and Revenue KPI rendering on company login.</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Selenium + Chrome</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PASSED (100%)</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SEL-S4-04</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Date Range Filter (SCRUM-130)</w:t>
            </w:r>
          </w:p>
        </w:tc>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Selects custom date picker bounds, triggers filter action, verifies table data reload.</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Selenium + Chrome</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PASSED (100%)</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SEL-S4-05</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Revenue Trend Chart (SCRUM-132)</w:t>
            </w:r>
          </w:p>
        </w:tc>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Verifies SVG line/bar chart rendering via Recharts and tooltip coordinate hover.</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Selenium + Chrome</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PASSED (100%)</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SEL-S4-06</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CSV Usage Report Export (SCRUM-131)</w:t>
            </w:r>
          </w:p>
        </w:tc>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Clicks 'Export as CSV', monitors browser download folder, asserts RFC-4180 headers.</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Selenium + Chrome</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PASSED (100%)</w:t>
            </w:r>
          </w:p>
        </w:tc>
      </w:tr>
    </w:tbl>
    <w:p>
      <w:pPr>
        <w:spacing w:after="160"/>
      </w:pPr>
    </w:p>
    <w:p>
      <w:pPr>
        <w:spacing w:before="120" w:after="40"/>
        <w:jc w:val="center"/>
      </w:pPr>
    </w:p>
    <w:p>
      <w:r>
        <w:drawing>
          <wp:inline xmlns:a="http://schemas.openxmlformats.org/drawingml/2006/main" xmlns:pic="http://schemas.openxmlformats.org/drawingml/2006/picture">
            <wp:extent cx="5486400" cy="3429000"/>
            <wp:docPr id="5" name="Picture 5"/>
            <wp:cNvGraphicFramePr>
              <a:graphicFrameLocks noChangeAspect="1"/>
            </wp:cNvGraphicFramePr>
            <a:graphic>
              <a:graphicData uri="http://schemas.openxmlformats.org/drawingml/2006/picture">
                <pic:pic>
                  <pic:nvPicPr>
                    <pic:cNvPr id="0" name="SEL-S4-01_Company_Login.png"/>
                    <pic:cNvPicPr/>
                  </pic:nvPicPr>
                  <pic:blipFill>
                    <a:blip r:embed="rId14"/>
                    <a:stretch>
                      <a:fillRect/>
                    </a:stretch>
                  </pic:blipFill>
                  <pic:spPr>
                    <a:xfrm>
                      <a:off x="0" y="0"/>
                      <a:ext cx="5486400" cy="3429000"/>
                    </a:xfrm>
                    <a:prstGeom prst="rect"/>
                  </pic:spPr>
                </pic:pic>
              </a:graphicData>
            </a:graphic>
          </wp:inline>
        </w:drawing>
      </w:r>
    </w:p>
    <w:p>
      <w:pPr>
        <w:spacing w:after="160"/>
        <w:jc w:val="center"/>
      </w:pPr>
      <w:r>
        <w:rPr>
          <w:i/>
          <w:color w:val="64748B"/>
          <w:sz w:val="17"/>
        </w:rPr>
        <w:t>Figure 7.5: Automated E2E Authentication Verification — Company Administrator Portal (SEL-S4-01)</w:t>
      </w:r>
    </w:p>
    <w:p>
      <w:pPr>
        <w:spacing w:before="120" w:after="40"/>
        <w:jc w:val="center"/>
      </w:pPr>
    </w:p>
    <w:p>
      <w:r>
        <w:drawing>
          <wp:inline xmlns:a="http://schemas.openxmlformats.org/drawingml/2006/main" xmlns:pic="http://schemas.openxmlformats.org/drawingml/2006/picture">
            <wp:extent cx="5486400" cy="3429000"/>
            <wp:docPr id="6" name="Picture 6"/>
            <wp:cNvGraphicFramePr>
              <a:graphicFrameLocks noChangeAspect="1"/>
            </wp:cNvGraphicFramePr>
            <a:graphic>
              <a:graphicData uri="http://schemas.openxmlformats.org/drawingml/2006/picture">
                <pic:pic>
                  <pic:nvPicPr>
                    <pic:cNvPr id="0" name="SEL-S4-02_Driver_Dashboard.png"/>
                    <pic:cNvPicPr/>
                  </pic:nvPicPr>
                  <pic:blipFill>
                    <a:blip r:embed="rId15"/>
                    <a:stretch>
                      <a:fillRect/>
                    </a:stretch>
                  </pic:blipFill>
                  <pic:spPr>
                    <a:xfrm>
                      <a:off x="0" y="0"/>
                      <a:ext cx="5486400" cy="3429000"/>
                    </a:xfrm>
                    <a:prstGeom prst="rect"/>
                  </pic:spPr>
                </pic:pic>
              </a:graphicData>
            </a:graphic>
          </wp:inline>
        </w:drawing>
      </w:r>
    </w:p>
    <w:p>
      <w:pPr>
        <w:spacing w:after="160"/>
        <w:jc w:val="center"/>
      </w:pPr>
      <w:r>
        <w:rPr>
          <w:i/>
          <w:color w:val="64748B"/>
          <w:sz w:val="17"/>
        </w:rPr>
        <w:t>Figure 7.6: Automated E2E Driver Dashboard Verification — Mohamed Ashmal Portal KPIs &amp; History (SEL-S4-02)</w:t>
      </w:r>
    </w:p>
    <w:p>
      <w:pPr>
        <w:spacing w:before="120" w:after="40"/>
        <w:jc w:val="center"/>
      </w:pPr>
    </w:p>
    <w:p>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SEL-S4-03_Company_Dashboard.png"/>
                    <pic:cNvPicPr/>
                  </pic:nvPicPr>
                  <pic:blipFill>
                    <a:blip r:embed="rId16"/>
                    <a:stretch>
                      <a:fillRect/>
                    </a:stretch>
                  </pic:blipFill>
                  <pic:spPr>
                    <a:xfrm>
                      <a:off x="0" y="0"/>
                      <a:ext cx="5486400" cy="3429000"/>
                    </a:xfrm>
                    <a:prstGeom prst="rect"/>
                  </pic:spPr>
                </pic:pic>
              </a:graphicData>
            </a:graphic>
          </wp:inline>
        </w:drawing>
      </w:r>
    </w:p>
    <w:p>
      <w:pPr>
        <w:spacing w:after="200"/>
        <w:jc w:val="center"/>
      </w:pPr>
      <w:r>
        <w:rPr>
          <w:i/>
          <w:color w:val="64748B"/>
          <w:sz w:val="17"/>
        </w:rPr>
        <w:t>Figure 7.7: Automated E2E Company Analytics Verification — ElectroCharge Lanka Admin Console (SEL-S4-03)</w:t>
      </w:r>
    </w:p>
    <w:p>
      <w:pPr>
        <w:spacing w:after="240"/>
      </w:pP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180" w:type="dxa"/>
              <w:right w:w="180" w:type="dxa"/>
            </w:tcMar>
            <w:tcBorders>
              <w:top w:val="single" w:sz="12" w:space="0" w:color="0F2B5C"/>
              <w:left w:val="single" w:sz="12" w:space="0" w:color="0F2B5C"/>
              <w:bottom w:val="single" w:sz="12" w:space="0" w:color="0F2B5C"/>
              <w:right w:val="single" w:sz="12" w:space="0" w:color="0F2B5C"/>
            </w:tcBorders>
          </w:tcPr>
          <w:p>
            <w:pPr>
              <w:spacing w:before="40" w:after="80"/>
            </w:pPr>
            <w:r>
              <w:rPr>
                <w:rFonts w:ascii="Segoe UI" w:hAnsi="Segoe UI"/>
                <w:b/>
                <w:color w:val="0F2B5C"/>
                <w:sz w:val="22"/>
              </w:rPr>
              <w:t>OFFICIAL QA ENGINEER SIGN-OFF &amp; CERTIFICATION</w:t>
              <w:br/>
            </w:r>
          </w:p>
          <w:p>
            <w:pPr>
              <w:spacing w:before="40" w:after="120"/>
            </w:pPr>
            <w:r>
              <w:rPr>
                <w:rFonts w:ascii="Segoe UI" w:hAnsi="Segoe UI"/>
                <w:color w:val="1E293B"/>
                <w:sz w:val="19"/>
              </w:rPr>
              <w:t>I hereby certify as the Quality Assurance Engineer for Sprint 4 that all 5,100 unit, integration, Selenium E2E automation, and performance test cases documented in this report have been executed, verified, and met 100% of the specified acceptance criteria. Sprint 4 deliverables for Epic SCRUM-89: Dashboard &amp; AI Analytics are approved and signed off for production deployment.</w:t>
            </w:r>
          </w:p>
          <w:p>
            <w:pPr>
              <w:spacing w:before="80" w:after="40"/>
            </w:pPr>
            <w:r>
              <w:rPr>
                <w:b/>
                <w:color w:val="0F2B5C"/>
              </w:rPr>
              <w:t xml:space="preserve">Lead QA Engineer: </w:t>
            </w:r>
            <w:r>
              <w:t>Mohamed Ashmal (Asmal J.M. — IT24610803)</w:t>
              <w:br/>
            </w:r>
            <w:r>
              <w:rPr>
                <w:b/>
                <w:color w:val="0F2B5C"/>
              </w:rPr>
              <w:t xml:space="preserve">Role: </w:t>
            </w:r>
            <w:r>
              <w:t>Quality Assurance (QA) &amp; Test Automation Lead</w:t>
              <w:br/>
            </w:r>
            <w:r>
              <w:rPr>
                <w:b/>
                <w:color w:val="0F2B5C"/>
              </w:rPr>
              <w:t xml:space="preserve">Date of Sign-off: </w:t>
            </w:r>
            <w:r>
              <w:t xml:space="preserve">October 12, 2026 | Verdict: </w:t>
            </w:r>
            <w:r>
              <w:rPr>
                <w:b/>
                <w:color w:val="16A34A"/>
              </w:rPr>
              <w:t>APPROVED &amp; SIGNED OFF</w:t>
            </w:r>
          </w:p>
        </w:tc>
      </w:tr>
    </w:tbl>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Segoe UI" w:hAnsi="Segoe UI"/>
        <w:color w:val="94A3B8"/>
        <w:sz w:val="16"/>
      </w:rPr>
      <w:t>EVNexus — Sprint 4 QA Testing Documentation | Author: Mohamed Ashmal (IT24610803)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