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F2C" w:rsidRDefault="00D541E4">
      <w:pPr>
        <w:spacing w:before="1400" w:after="60"/>
        <w:jc w:val="center"/>
      </w:pPr>
      <w:proofErr w:type="spellStart"/>
      <w:r>
        <w:rPr>
          <w:b/>
          <w:bCs/>
          <w:color w:val="1F3864"/>
          <w:sz w:val="56"/>
          <w:szCs w:val="56"/>
        </w:rPr>
        <w:t>AccuPrompt</w:t>
      </w:r>
      <w:proofErr w:type="spellEnd"/>
    </w:p>
    <w:p w:rsidR="00891F2C" w:rsidRDefault="00D541E4">
      <w:pPr>
        <w:spacing w:after="40"/>
        <w:jc w:val="center"/>
      </w:pPr>
      <w:r>
        <w:rPr>
          <w:color w:val="595959"/>
          <w:sz w:val="30"/>
          <w:szCs w:val="30"/>
        </w:rPr>
        <w:t>Analysis, Discussion &amp; Recommendations</w:t>
      </w:r>
    </w:p>
    <w:p w:rsidR="00891F2C" w:rsidRDefault="00D541E4">
      <w:pPr>
        <w:spacing w:before="400"/>
        <w:jc w:val="center"/>
      </w:pPr>
      <w:proofErr w:type="spellStart"/>
      <w:r>
        <w:rPr>
          <w:b/>
          <w:bCs/>
        </w:rPr>
        <w:t>Hirwa</w:t>
      </w:r>
      <w:proofErr w:type="spellEnd"/>
      <w:r>
        <w:rPr>
          <w:b/>
          <w:bCs/>
        </w:rPr>
        <w:t xml:space="preserve"> Armstrong Brian</w:t>
      </w:r>
    </w:p>
    <w:p w:rsidR="00891F2C" w:rsidRDefault="00D541E4">
      <w:pPr>
        <w:jc w:val="center"/>
      </w:pPr>
      <w:r>
        <w:t>BSc Software Engineering</w:t>
      </w:r>
      <w:r>
        <w:t xml:space="preserve"> Capstone</w:t>
      </w:r>
    </w:p>
    <w:p w:rsidR="00891F2C" w:rsidRDefault="00D541E4">
      <w:pPr>
        <w:jc w:val="center"/>
      </w:pPr>
      <w:r>
        <w:rPr>
          <w:color w:val="595959"/>
        </w:rPr>
        <w:t xml:space="preserve">Supervisor: Kevin </w:t>
      </w:r>
      <w:proofErr w:type="spellStart"/>
      <w:r>
        <w:rPr>
          <w:color w:val="595959"/>
        </w:rPr>
        <w:t>Sebineza</w:t>
      </w:r>
      <w:proofErr w:type="spellEnd"/>
    </w:p>
    <w:p w:rsidR="00891F2C" w:rsidRDefault="00D541E4">
      <w:r>
        <w:br w:type="page"/>
      </w:r>
    </w:p>
    <w:p w:rsidR="00891F2C" w:rsidRDefault="00D541E4">
      <w:pPr>
        <w:pStyle w:val="Heading1"/>
        <w:spacing w:before="320" w:after="140"/>
      </w:pPr>
      <w:r>
        <w:rPr>
          <w:b/>
          <w:bCs/>
          <w:color w:val="1F3864"/>
        </w:rPr>
        <w:lastRenderedPageBreak/>
        <w:t>1. Analysis of results against the proposal objectives</w:t>
      </w:r>
    </w:p>
    <w:p w:rsidR="00891F2C" w:rsidRDefault="00D541E4">
      <w:pPr>
        <w:spacing w:after="120" w:line="300" w:lineRule="auto"/>
        <w:jc w:val="both"/>
      </w:pPr>
      <w:r>
        <w:t xml:space="preserve">This section assesses what was achieved against the objectives set out in the approved proposal, and states plainly where the outcome met, exceeded, or fell short of the plan. The proposal framed </w:t>
      </w:r>
      <w:proofErr w:type="spellStart"/>
      <w:r>
        <w:t>AccuPrompt</w:t>
      </w:r>
      <w:proofErr w:type="spellEnd"/>
      <w:r>
        <w:t xml:space="preserve"> as a Stage I formative prototype: the goal was a </w:t>
      </w:r>
      <w:r>
        <w:t>working intervention suitable for cognitive walk-throughs with Kinyarwanda/English speakers, not a deployed efficacy trial. The analysis is made against that scope.</w:t>
      </w:r>
    </w:p>
    <w:p w:rsidR="00891F2C" w:rsidRDefault="00D541E4">
      <w:pPr>
        <w:pStyle w:val="Heading2"/>
        <w:spacing w:before="240" w:after="100"/>
      </w:pPr>
      <w:r>
        <w:rPr>
          <w:b/>
          <w:bCs/>
          <w:color w:val="1F3864"/>
        </w:rPr>
        <w:t>1.1 Core intervention(</w:t>
      </w:r>
      <w:r>
        <w:rPr>
          <w:b/>
          <w:bCs/>
          <w:color w:val="1F3864"/>
        </w:rPr>
        <w:t>met)</w:t>
      </w:r>
    </w:p>
    <w:p w:rsidR="00891F2C" w:rsidRDefault="00D541E4">
      <w:pPr>
        <w:spacing w:after="120" w:line="300" w:lineRule="auto"/>
        <w:jc w:val="both"/>
      </w:pPr>
      <w:r>
        <w:t xml:space="preserve">The central objective which </w:t>
      </w:r>
      <w:r>
        <w:t>delivering an accuracy prompt at the mo</w:t>
      </w:r>
      <w:r>
        <w:t xml:space="preserve">ment of sharing, without reading or altering the user’s message beyond what the feature requires </w:t>
      </w:r>
      <w:r>
        <w:t>was achieved. The extension intercepts the share action in the browser’s event capture phase, shows the prompt, and leaves the message under the platform’s c</w:t>
      </w:r>
      <w:r>
        <w:t>ontrol. The four accuracy-prompt formulations from the source literature are implemented and are selected by a multi-armed bandit, exactly as proposed.</w:t>
      </w:r>
    </w:p>
    <w:p w:rsidR="00891F2C" w:rsidRDefault="00D541E4">
      <w:pPr>
        <w:pStyle w:val="Heading2"/>
        <w:spacing w:before="240" w:after="100"/>
      </w:pPr>
      <w:r>
        <w:rPr>
          <w:b/>
          <w:bCs/>
          <w:color w:val="1F3864"/>
        </w:rPr>
        <w:t>1.2 Platform coverage (</w:t>
      </w:r>
      <w:r>
        <w:rPr>
          <w:b/>
          <w:bCs/>
          <w:color w:val="1F3864"/>
        </w:rPr>
        <w:t>exceeded)</w:t>
      </w:r>
    </w:p>
    <w:p w:rsidR="00891F2C" w:rsidRDefault="00D541E4">
      <w:pPr>
        <w:spacing w:after="120" w:line="300" w:lineRule="auto"/>
        <w:jc w:val="both"/>
      </w:pPr>
      <w:r>
        <w:t xml:space="preserve">The proposal set WhatsApp Web as the foundational platform and treated </w:t>
      </w:r>
      <w:r>
        <w:t xml:space="preserve">other platforms as possible future work. In implementation, the platform layer was refactored into a clean adapter interface, and this made it feasible to extend coverage during development. The prototype now intercepts sharing on four platforms: WhatsApp </w:t>
      </w:r>
      <w:r>
        <w:t>Web, Facebook Messenger, X (composer, direct messages, and share-to-direct-message), and Facebook (share-to-Messenger). This exceeds the proposal’s single-platform commitment while keeping WhatsApp as the foundation, and it was done in agreement with the s</w:t>
      </w:r>
      <w:r>
        <w:t>upervisor, who was comfortable extending coverage provided WhatsApp remained central.</w:t>
      </w:r>
    </w:p>
    <w:p w:rsidR="00891F2C" w:rsidRDefault="00D541E4">
      <w:pPr>
        <w:pStyle w:val="Heading2"/>
        <w:spacing w:before="240" w:after="100"/>
      </w:pPr>
      <w:r>
        <w:rPr>
          <w:b/>
          <w:bCs/>
          <w:color w:val="1F3864"/>
        </w:rPr>
        <w:t>1.3 Two capabilities added beyond the original plan (</w:t>
      </w:r>
      <w:r>
        <w:rPr>
          <w:b/>
          <w:bCs/>
          <w:color w:val="1F3864"/>
        </w:rPr>
        <w:t>exceeded, with honest scoping)</w:t>
      </w:r>
    </w:p>
    <w:p w:rsidR="00891F2C" w:rsidRDefault="00D541E4">
      <w:pPr>
        <w:spacing w:after="120" w:line="300" w:lineRule="auto"/>
        <w:jc w:val="both"/>
      </w:pPr>
      <w:r>
        <w:rPr>
          <w:b/>
          <w:bCs/>
        </w:rPr>
        <w:t xml:space="preserve">Retrieval-based evidence panel (RAG). </w:t>
      </w:r>
      <w:r>
        <w:t xml:space="preserve">Not in the original proposal, this was added at </w:t>
      </w:r>
      <w:r>
        <w:t>the supervisor’s suggestion. It retrieves related human-written fact-checks from an existing corpus (</w:t>
      </w:r>
      <w:proofErr w:type="spellStart"/>
      <w:r>
        <w:t>AVeriTeC</w:t>
      </w:r>
      <w:proofErr w:type="spellEnd"/>
      <w:r>
        <w:t xml:space="preserve">) and displays their verdicts and justifications. It is deliberately retrieval-only there is no generative model </w:t>
      </w:r>
      <w:r>
        <w:t>so it cannot fabricate or inve</w:t>
      </w:r>
      <w:r>
        <w:t>rt a verdict. This was a genuine addition to scope, and it is reported as such rather than folded silently into the original plan.</w:t>
      </w:r>
    </w:p>
    <w:p w:rsidR="00891F2C" w:rsidRDefault="00D541E4">
      <w:pPr>
        <w:spacing w:after="120" w:line="300" w:lineRule="auto"/>
        <w:jc w:val="both"/>
      </w:pPr>
      <w:r>
        <w:rPr>
          <w:b/>
          <w:bCs/>
        </w:rPr>
        <w:t xml:space="preserve">Triggering gate. </w:t>
      </w:r>
      <w:r>
        <w:t>Also beyond the original plan, the gate prevents the extension from prompting on every trivial message. It r</w:t>
      </w:r>
      <w:r>
        <w:t>eads message structure (length, links, numerals) but not meaning, and is independently switchable. It solves a real usability problem that a naive “prompt on every send” design would have created.</w:t>
      </w:r>
    </w:p>
    <w:p w:rsidR="00891F2C" w:rsidRDefault="00D541E4">
      <w:pPr>
        <w:pStyle w:val="Heading2"/>
        <w:spacing w:before="240" w:after="100"/>
      </w:pPr>
      <w:r>
        <w:rPr>
          <w:b/>
          <w:bCs/>
          <w:color w:val="1F3864"/>
        </w:rPr>
        <w:t>1.4 Where the outcome is honestly partial</w:t>
      </w:r>
    </w:p>
    <w:p w:rsidR="00891F2C" w:rsidRDefault="00D541E4">
      <w:pPr>
        <w:pStyle w:val="ListParagraph"/>
        <w:numPr>
          <w:ilvl w:val="0"/>
          <w:numId w:val="2"/>
        </w:numPr>
        <w:spacing w:after="90" w:line="300" w:lineRule="auto"/>
        <w:jc w:val="both"/>
      </w:pPr>
      <w:r>
        <w:rPr>
          <w:b/>
          <w:bCs/>
        </w:rPr>
        <w:t>Efficacy is out o</w:t>
      </w:r>
      <w:r>
        <w:rPr>
          <w:b/>
          <w:bCs/>
        </w:rPr>
        <w:t xml:space="preserve">f scope by design. </w:t>
      </w:r>
      <w:r>
        <w:t xml:space="preserve">The prototype supports formative walk-throughs of usability, cultural fit, and trust; it does not, and was never intended to, measure whether the prompt reduces </w:t>
      </w:r>
      <w:r>
        <w:lastRenderedPageBreak/>
        <w:t>misinformation sharing. Any A/B comparison it supports (evidence-panel on/of</w:t>
      </w:r>
      <w:r>
        <w:t>f, gate on/off) yields qualitative impressions at walk-through sample sizes, not measured efficacy.</w:t>
      </w:r>
    </w:p>
    <w:p w:rsidR="00891F2C" w:rsidRDefault="00D541E4">
      <w:pPr>
        <w:pStyle w:val="ListParagraph"/>
        <w:numPr>
          <w:ilvl w:val="0"/>
          <w:numId w:val="2"/>
        </w:numPr>
        <w:spacing w:after="90" w:line="300" w:lineRule="auto"/>
        <w:jc w:val="both"/>
      </w:pPr>
      <w:r>
        <w:rPr>
          <w:b/>
          <w:bCs/>
        </w:rPr>
        <w:t xml:space="preserve">Kinyarwanda is </w:t>
      </w:r>
      <w:proofErr w:type="spellStart"/>
      <w:r>
        <w:rPr>
          <w:b/>
          <w:bCs/>
        </w:rPr>
        <w:t>unreviewed</w:t>
      </w:r>
      <w:proofErr w:type="spellEnd"/>
      <w:r>
        <w:rPr>
          <w:b/>
          <w:bCs/>
        </w:rPr>
        <w:t xml:space="preserve">. </w:t>
      </w:r>
      <w:r>
        <w:t xml:space="preserve">The Kinyarwanda prompt strings, the machine-translated fact-check justifications, and the draft verdict labels are all </w:t>
      </w:r>
      <w:proofErr w:type="spellStart"/>
      <w:r>
        <w:t>unreviewed</w:t>
      </w:r>
      <w:proofErr w:type="spellEnd"/>
      <w:r>
        <w:t xml:space="preserve"> by a native speaker and are flagged as such in the interface. Confirming them is outstanding work, not a completed objective.</w:t>
      </w:r>
    </w:p>
    <w:p w:rsidR="00891F2C" w:rsidRDefault="00D541E4">
      <w:pPr>
        <w:pStyle w:val="ListParagraph"/>
        <w:numPr>
          <w:ilvl w:val="0"/>
          <w:numId w:val="2"/>
        </w:numPr>
        <w:spacing w:after="90" w:line="300" w:lineRule="auto"/>
        <w:jc w:val="both"/>
      </w:pPr>
      <w:r>
        <w:rPr>
          <w:b/>
          <w:bCs/>
        </w:rPr>
        <w:t xml:space="preserve">Selector fragility is inherent. </w:t>
      </w:r>
      <w:r>
        <w:t>Interception depends on the internal structure of obfuscated third-party web apps. This works tod</w:t>
      </w:r>
      <w:r>
        <w:t>ay but is expected to break when those apps change, and the Facebook share hook in particular is language-dependent.</w:t>
      </w:r>
    </w:p>
    <w:p w:rsidR="00891F2C" w:rsidRDefault="00D541E4">
      <w:pPr>
        <w:pStyle w:val="Heading1"/>
        <w:spacing w:before="320" w:after="140"/>
      </w:pPr>
      <w:r>
        <w:rPr>
          <w:b/>
          <w:bCs/>
          <w:color w:val="1F3864"/>
        </w:rPr>
        <w:t xml:space="preserve">2. </w:t>
      </w:r>
      <w:r>
        <w:rPr>
          <w:b/>
          <w:bCs/>
          <w:color w:val="1F3864"/>
        </w:rPr>
        <w:t>importance and impact of the milestones</w:t>
      </w:r>
    </w:p>
    <w:p w:rsidR="00891F2C" w:rsidRDefault="00D541E4">
      <w:pPr>
        <w:spacing w:after="120" w:line="300" w:lineRule="auto"/>
        <w:jc w:val="both"/>
      </w:pPr>
      <w:r>
        <w:t xml:space="preserve">This section discusses why the key milestones matter and what their results imply, </w:t>
      </w:r>
      <w:r>
        <w:t>in the terms a formative study cares about.</w:t>
      </w:r>
    </w:p>
    <w:p w:rsidR="00891F2C" w:rsidRDefault="00D541E4">
      <w:pPr>
        <w:pStyle w:val="Heading2"/>
        <w:spacing w:before="240" w:after="100"/>
      </w:pPr>
      <w:r>
        <w:rPr>
          <w:b/>
          <w:bCs/>
          <w:color w:val="1F3864"/>
        </w:rPr>
        <w:t>2.1 The interception mechanism is the enabling milestone</w:t>
      </w:r>
    </w:p>
    <w:p w:rsidR="00891F2C" w:rsidRDefault="00D541E4">
      <w:pPr>
        <w:spacing w:after="120" w:line="300" w:lineRule="auto"/>
        <w:jc w:val="both"/>
      </w:pPr>
      <w:r>
        <w:t xml:space="preserve">Everything else depends on catching the share at the right instant without taking over the message. Achieving this in the event capture phase (which is </w:t>
      </w:r>
      <w:r>
        <w:t>intercepting the event rather than manipulating the composer)</w:t>
      </w:r>
      <w:r>
        <w:t xml:space="preserve"> is what lets the intervention be timely and yet m</w:t>
      </w:r>
      <w:r>
        <w:t>inimally invasive. Its importance is that it makes the whole “prompt at the moment of sharing” premise real rather than theoretical; its limitation is that it ties the product’s durability to platform interfaces the project does not control.</w:t>
      </w:r>
    </w:p>
    <w:p w:rsidR="00891F2C" w:rsidRDefault="00D541E4">
      <w:pPr>
        <w:pStyle w:val="Heading2"/>
        <w:spacing w:before="240" w:after="100"/>
      </w:pPr>
      <w:r>
        <w:rPr>
          <w:b/>
          <w:bCs/>
          <w:color w:val="1F3864"/>
        </w:rPr>
        <w:t>2.2 The gate i</w:t>
      </w:r>
      <w:r>
        <w:rPr>
          <w:b/>
          <w:bCs/>
          <w:color w:val="1F3864"/>
        </w:rPr>
        <w:t>s what makes the tool usable rather than annoying</w:t>
      </w:r>
    </w:p>
    <w:p w:rsidR="00891F2C" w:rsidRDefault="00D541E4">
      <w:pPr>
        <w:spacing w:after="120" w:line="300" w:lineRule="auto"/>
        <w:jc w:val="both"/>
      </w:pPr>
      <w:r>
        <w:t xml:space="preserve">A prompt that fires on every message trains people to dismiss it reflexively, which would corrupt exactly the walk-through data the project needs. The gate’s importance is therefore disproportionate to its </w:t>
      </w:r>
      <w:r>
        <w:t>size: by staying content-blind (structural signals only) it preserves the project’s privacy stance, and by being explainable (rule-based, not a black box) it lets a facilitator say precisely why a prompt did or did not appear. Its impact is a tool that can</w:t>
      </w:r>
      <w:r>
        <w:t xml:space="preserve"> be lived with for the length of a session.</w:t>
      </w:r>
    </w:p>
    <w:p w:rsidR="00891F2C" w:rsidRDefault="00D541E4">
      <w:pPr>
        <w:pStyle w:val="Heading2"/>
        <w:spacing w:before="240" w:after="100"/>
      </w:pPr>
      <w:r>
        <w:rPr>
          <w:b/>
          <w:bCs/>
          <w:color w:val="1F3864"/>
        </w:rPr>
        <w:t>2.3 Retrieval-only RAG is a deliberate restraint</w:t>
      </w:r>
    </w:p>
    <w:p w:rsidR="00891F2C" w:rsidRDefault="00D541E4">
      <w:pPr>
        <w:spacing w:after="120" w:line="300" w:lineRule="auto"/>
        <w:jc w:val="both"/>
      </w:pPr>
      <w:r>
        <w:t>The most important thing about the evidence panel is what it refuses to do. By retrieving existing human fact-checks rather than generating text, it cannot halluci</w:t>
      </w:r>
      <w:r>
        <w:t>nate a verdict —</w:t>
      </w:r>
      <w:r>
        <w:t xml:space="preserve"> a failure mode that would be unacceptable in a misinformation tool. The impact is that the panel can offer independent evidence while the tool itself never adjudicates truth, which keeps the intervention honest. The cost is coverage: the p</w:t>
      </w:r>
      <w:r>
        <w:t xml:space="preserve">anel is silent for most everyday messages, which is the correct </w:t>
      </w:r>
      <w:proofErr w:type="spellStart"/>
      <w:r>
        <w:t>behaviour</w:t>
      </w:r>
      <w:proofErr w:type="spellEnd"/>
      <w:r>
        <w:t xml:space="preserve"> but means it contributes only when a claim is genuinely in the corpus.</w:t>
      </w:r>
    </w:p>
    <w:p w:rsidR="00891F2C" w:rsidRDefault="00D541E4">
      <w:pPr>
        <w:pStyle w:val="Heading2"/>
        <w:spacing w:before="240" w:after="100"/>
      </w:pPr>
      <w:r>
        <w:rPr>
          <w:b/>
          <w:bCs/>
          <w:color w:val="1F3864"/>
        </w:rPr>
        <w:t>2.4 The honesty safeguards are a first-class result</w:t>
      </w:r>
    </w:p>
    <w:p w:rsidR="00891F2C" w:rsidRDefault="00D541E4">
      <w:pPr>
        <w:spacing w:after="120" w:line="300" w:lineRule="auto"/>
        <w:jc w:val="both"/>
      </w:pPr>
      <w:r>
        <w:lastRenderedPageBreak/>
        <w:t xml:space="preserve">The </w:t>
      </w:r>
      <w:proofErr w:type="spellStart"/>
      <w:r>
        <w:t>unreviewed</w:t>
      </w:r>
      <w:proofErr w:type="spellEnd"/>
      <w:r>
        <w:t>-translation banners, the provisional label m</w:t>
      </w:r>
      <w:r>
        <w:t xml:space="preserve">arkers, and the verdict </w:t>
      </w:r>
      <w:proofErr w:type="spellStart"/>
      <w:r>
        <w:t>colour</w:t>
      </w:r>
      <w:proofErr w:type="spellEnd"/>
      <w:r>
        <w:t xml:space="preserve"> staying keyed to the original English label are not cosmetic. In a bilingual tool aimed at a population that will be shown verdicts about truth, the safeguard that a machine-translated or draft label can never be mistaken for</w:t>
      </w:r>
      <w:r>
        <w:t xml:space="preserve"> a confirmed one is central to the tool being safe to put in front of participants at all. That these </w:t>
      </w:r>
      <w:proofErr w:type="spellStart"/>
      <w:r>
        <w:t>behaviours</w:t>
      </w:r>
      <w:proofErr w:type="spellEnd"/>
      <w:r>
        <w:t xml:space="preserve"> were verified under both languages is a substantive milestone, not a detail.</w:t>
      </w:r>
    </w:p>
    <w:p w:rsidR="00891F2C" w:rsidRDefault="00D541E4">
      <w:pPr>
        <w:pStyle w:val="Heading1"/>
        <w:spacing w:before="320" w:after="140"/>
      </w:pPr>
      <w:r>
        <w:rPr>
          <w:b/>
          <w:bCs/>
          <w:color w:val="1F3864"/>
        </w:rPr>
        <w:t>3. Recommendations</w:t>
      </w:r>
    </w:p>
    <w:p w:rsidR="00891F2C" w:rsidRDefault="00D541E4">
      <w:pPr>
        <w:pStyle w:val="Heading2"/>
        <w:spacing w:before="240" w:after="100"/>
      </w:pPr>
      <w:r>
        <w:rPr>
          <w:b/>
          <w:bCs/>
          <w:color w:val="1F3864"/>
        </w:rPr>
        <w:t>3.1 For the community and for use</w:t>
      </w:r>
    </w:p>
    <w:p w:rsidR="00891F2C" w:rsidRDefault="00D541E4">
      <w:pPr>
        <w:pStyle w:val="ListParagraph"/>
        <w:numPr>
          <w:ilvl w:val="0"/>
          <w:numId w:val="2"/>
        </w:numPr>
        <w:spacing w:after="90" w:line="300" w:lineRule="auto"/>
        <w:jc w:val="both"/>
      </w:pPr>
      <w:r>
        <w:rPr>
          <w:b/>
          <w:bCs/>
        </w:rPr>
        <w:t>Treat this as</w:t>
      </w:r>
      <w:r>
        <w:rPr>
          <w:b/>
          <w:bCs/>
        </w:rPr>
        <w:t xml:space="preserve"> a formative instrument, not a finished product. </w:t>
      </w:r>
      <w:r>
        <w:t xml:space="preserve">Its value now is in eliciting how Kinyarwanda/English users experience an accuracy prompt at the moment of sharing </w:t>
      </w:r>
      <w:r>
        <w:t xml:space="preserve">use it to gather that, not to claim an effect on </w:t>
      </w:r>
      <w:proofErr w:type="spellStart"/>
      <w:r>
        <w:t>behaviour</w:t>
      </w:r>
      <w:proofErr w:type="spellEnd"/>
      <w:r>
        <w:t>.</w:t>
      </w:r>
    </w:p>
    <w:p w:rsidR="00891F2C" w:rsidRDefault="00D541E4">
      <w:pPr>
        <w:pStyle w:val="ListParagraph"/>
        <w:numPr>
          <w:ilvl w:val="0"/>
          <w:numId w:val="2"/>
        </w:numPr>
        <w:spacing w:after="90" w:line="300" w:lineRule="auto"/>
        <w:jc w:val="both"/>
      </w:pPr>
      <w:proofErr w:type="spellStart"/>
      <w:r>
        <w:rPr>
          <w:b/>
          <w:bCs/>
        </w:rPr>
        <w:t>Prioritise</w:t>
      </w:r>
      <w:proofErr w:type="spellEnd"/>
      <w:r>
        <w:rPr>
          <w:b/>
          <w:bCs/>
        </w:rPr>
        <w:t xml:space="preserve"> WhatsApp for the ta</w:t>
      </w:r>
      <w:r>
        <w:rPr>
          <w:b/>
          <w:bCs/>
        </w:rPr>
        <w:t xml:space="preserve">rget context. </w:t>
      </w:r>
      <w:r>
        <w:t>WhatsApp is the dominant interpersonal-forwarding channel for the misinformation this project targets in Rwanda; the additional platforms broaden reach but WhatsApp is where the intervention is most contextually apt.</w:t>
      </w:r>
    </w:p>
    <w:p w:rsidR="00891F2C" w:rsidRDefault="00D541E4">
      <w:pPr>
        <w:pStyle w:val="ListParagraph"/>
        <w:numPr>
          <w:ilvl w:val="0"/>
          <w:numId w:val="2"/>
        </w:numPr>
        <w:spacing w:after="90" w:line="300" w:lineRule="auto"/>
        <w:jc w:val="both"/>
      </w:pPr>
      <w:r>
        <w:rPr>
          <w:b/>
          <w:bCs/>
        </w:rPr>
        <w:t>Never present the Kinyarw</w:t>
      </w:r>
      <w:r>
        <w:rPr>
          <w:b/>
          <w:bCs/>
        </w:rPr>
        <w:t xml:space="preserve">anda output as authoritative until reviewed. </w:t>
      </w:r>
      <w:r>
        <w:t>The safeguards are in place, but a native-speaker review of the prompt strings, justifications, and the four verdict labels should precede any participant-facing use that leans on the Kinyarwanda text.</w:t>
      </w:r>
    </w:p>
    <w:p w:rsidR="00891F2C" w:rsidRDefault="00D541E4">
      <w:pPr>
        <w:pStyle w:val="Heading2"/>
        <w:spacing w:before="240" w:after="100"/>
      </w:pPr>
      <w:r>
        <w:rPr>
          <w:b/>
          <w:bCs/>
          <w:color w:val="1F3864"/>
        </w:rPr>
        <w:t>3.2 Futur</w:t>
      </w:r>
      <w:r>
        <w:rPr>
          <w:b/>
          <w:bCs/>
          <w:color w:val="1F3864"/>
        </w:rPr>
        <w:t>e work</w:t>
      </w:r>
    </w:p>
    <w:p w:rsidR="00891F2C" w:rsidRDefault="00D541E4">
      <w:pPr>
        <w:pStyle w:val="ListParagraph"/>
        <w:numPr>
          <w:ilvl w:val="0"/>
          <w:numId w:val="2"/>
        </w:numPr>
        <w:spacing w:after="90" w:line="300" w:lineRule="auto"/>
        <w:jc w:val="both"/>
      </w:pPr>
      <w:r>
        <w:rPr>
          <w:b/>
          <w:bCs/>
        </w:rPr>
        <w:t xml:space="preserve">Native-speaker review of all Kinyarwanda. </w:t>
      </w:r>
      <w:r>
        <w:t>Confirm the four verdict labels first (they are the most polarity-critical), then the prompt strings and the translated justifications, flipping each to “reviewed” as it is checked.</w:t>
      </w:r>
    </w:p>
    <w:p w:rsidR="00891F2C" w:rsidRDefault="00D541E4">
      <w:pPr>
        <w:pStyle w:val="ListParagraph"/>
        <w:numPr>
          <w:ilvl w:val="0"/>
          <w:numId w:val="2"/>
        </w:numPr>
        <w:spacing w:after="90" w:line="300" w:lineRule="auto"/>
        <w:jc w:val="both"/>
      </w:pPr>
      <w:r>
        <w:rPr>
          <w:b/>
          <w:bCs/>
        </w:rPr>
        <w:t>A native-speaker-reviewed</w:t>
      </w:r>
      <w:r>
        <w:rPr>
          <w:b/>
          <w:bCs/>
        </w:rPr>
        <w:t xml:space="preserve"> or contextual claim classifier. </w:t>
      </w:r>
      <w:r>
        <w:t>The current gate is a transparent structural heuristic. A learned, content-aware “is this claim-worthy?” classifier could improve targeting</w:t>
      </w:r>
      <w:r>
        <w:t xml:space="preserve"> but it would require a labelled Kinyarwanda dataset, which does not yet exist, an</w:t>
      </w:r>
      <w:r>
        <w:t>d would re-open the content-blindness question, so it is deliberately deferred.</w:t>
      </w:r>
    </w:p>
    <w:p w:rsidR="00891F2C" w:rsidRDefault="00D541E4">
      <w:pPr>
        <w:pStyle w:val="ListParagraph"/>
        <w:numPr>
          <w:ilvl w:val="0"/>
          <w:numId w:val="2"/>
        </w:numPr>
        <w:spacing w:after="90" w:line="300" w:lineRule="auto"/>
        <w:jc w:val="both"/>
      </w:pPr>
      <w:r>
        <w:rPr>
          <w:b/>
          <w:bCs/>
        </w:rPr>
        <w:t xml:space="preserve">Reduce selector fragility. </w:t>
      </w:r>
      <w:r>
        <w:t>Interception relies on the internal markup of third-party apps. A monitoring or self-check that warns when a platform’s selectors stop matching would turn silent breakage into a visible, fixable signal; the Facebook hook’s language dependence should also b</w:t>
      </w:r>
      <w:r>
        <w:t xml:space="preserve">e </w:t>
      </w:r>
      <w:proofErr w:type="spellStart"/>
      <w:r>
        <w:t>generalised</w:t>
      </w:r>
      <w:proofErr w:type="spellEnd"/>
      <w:r>
        <w:t xml:space="preserve"> beyond the English interface string.</w:t>
      </w:r>
    </w:p>
    <w:p w:rsidR="00891F2C" w:rsidRDefault="00D541E4">
      <w:pPr>
        <w:pStyle w:val="ListParagraph"/>
        <w:numPr>
          <w:ilvl w:val="0"/>
          <w:numId w:val="2"/>
        </w:numPr>
        <w:spacing w:after="90" w:line="300" w:lineRule="auto"/>
        <w:jc w:val="both"/>
      </w:pPr>
      <w:r>
        <w:rPr>
          <w:b/>
          <w:bCs/>
        </w:rPr>
        <w:t xml:space="preserve">Extend retrieval coverage and consider the shared-post case. </w:t>
      </w:r>
      <w:r>
        <w:t>The panel only helps for claims in the c</w:t>
      </w:r>
      <w:r>
        <w:t>orpus. Growing the corpus, and —</w:t>
      </w:r>
      <w:r>
        <w:t xml:space="preserve"> as a separate, explicitly-justified privacy decision — optionally readi</w:t>
      </w:r>
      <w:r>
        <w:t>ng the text of a shared post so retrieval can work on forwarded content, would widen its usefulness.</w:t>
      </w:r>
    </w:p>
    <w:p w:rsidR="00891F2C" w:rsidRDefault="00D541E4">
      <w:pPr>
        <w:pStyle w:val="ListParagraph"/>
        <w:numPr>
          <w:ilvl w:val="0"/>
          <w:numId w:val="2"/>
        </w:numPr>
        <w:spacing w:after="90" w:line="300" w:lineRule="auto"/>
        <w:jc w:val="both"/>
      </w:pPr>
      <w:r>
        <w:rPr>
          <w:b/>
          <w:bCs/>
        </w:rPr>
        <w:lastRenderedPageBreak/>
        <w:t xml:space="preserve">A server-side option for multi-site studies. </w:t>
      </w:r>
      <w:r>
        <w:t xml:space="preserve">Telemetry is local by design, which suits supervised walk-throughs. A larger, distributed study would justify </w:t>
      </w:r>
      <w:r>
        <w:t>an optional server-side sync, with the corresponding consent and data-protection provisions.</w:t>
      </w:r>
    </w:p>
    <w:p w:rsidR="00891F2C" w:rsidRDefault="00D541E4">
      <w:pPr>
        <w:pStyle w:val="Heading2"/>
        <w:spacing w:before="240" w:after="100"/>
      </w:pPr>
      <w:r>
        <w:rPr>
          <w:b/>
          <w:bCs/>
          <w:color w:val="1F3864"/>
        </w:rPr>
        <w:t>3.3 Closing note</w:t>
      </w:r>
    </w:p>
    <w:p w:rsidR="00891F2C" w:rsidRDefault="00D541E4">
      <w:pPr>
        <w:spacing w:after="120" w:line="300" w:lineRule="auto"/>
        <w:jc w:val="both"/>
      </w:pPr>
      <w:proofErr w:type="spellStart"/>
      <w:r>
        <w:t>AccuPrompt</w:t>
      </w:r>
      <w:proofErr w:type="spellEnd"/>
      <w:r>
        <w:t xml:space="preserve"> met its core objective and, in agreement with the supervisor, went beyond the proposed single-platform scope while adding a retrieval-b</w:t>
      </w:r>
      <w:r>
        <w:t xml:space="preserve">ased evidence panel and a triggering gate. Its results are reported against the formative scope they were built for: the product demonstrates the intervention convincingly and is ready to support cognitive walk-throughs, with the outstanding work </w:t>
      </w:r>
      <w:bookmarkStart w:id="0" w:name="_GoBack"/>
      <w:bookmarkEnd w:id="0"/>
      <w:r>
        <w:t>Kinyarw</w:t>
      </w:r>
      <w:r>
        <w:t xml:space="preserve">anda review, fragility reduction, and any move toward efficacy testing </w:t>
      </w:r>
      <w:r>
        <w:t>clearly identified rather than obscured.</w:t>
      </w:r>
    </w:p>
    <w:sectPr w:rsidR="00891F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30A84"/>
    <w:multiLevelType w:val="hybridMultilevel"/>
    <w:tmpl w:val="3098BE48"/>
    <w:lvl w:ilvl="0" w:tplc="5AB2D5E2">
      <w:start w:val="1"/>
      <w:numFmt w:val="bullet"/>
      <w:lvlText w:val="●"/>
      <w:lvlJc w:val="left"/>
      <w:pPr>
        <w:ind w:left="720" w:hanging="360"/>
      </w:pPr>
    </w:lvl>
    <w:lvl w:ilvl="1" w:tplc="DC0A1514">
      <w:start w:val="1"/>
      <w:numFmt w:val="bullet"/>
      <w:lvlText w:val="○"/>
      <w:lvlJc w:val="left"/>
      <w:pPr>
        <w:ind w:left="1440" w:hanging="360"/>
      </w:pPr>
    </w:lvl>
    <w:lvl w:ilvl="2" w:tplc="E8EEA35A">
      <w:start w:val="1"/>
      <w:numFmt w:val="bullet"/>
      <w:lvlText w:val="■"/>
      <w:lvlJc w:val="left"/>
      <w:pPr>
        <w:ind w:left="2160" w:hanging="360"/>
      </w:pPr>
    </w:lvl>
    <w:lvl w:ilvl="3" w:tplc="541AE2F2">
      <w:start w:val="1"/>
      <w:numFmt w:val="bullet"/>
      <w:lvlText w:val="●"/>
      <w:lvlJc w:val="left"/>
      <w:pPr>
        <w:ind w:left="2880" w:hanging="360"/>
      </w:pPr>
    </w:lvl>
    <w:lvl w:ilvl="4" w:tplc="056EAB54">
      <w:start w:val="1"/>
      <w:numFmt w:val="bullet"/>
      <w:lvlText w:val="○"/>
      <w:lvlJc w:val="left"/>
      <w:pPr>
        <w:ind w:left="3600" w:hanging="360"/>
      </w:pPr>
    </w:lvl>
    <w:lvl w:ilvl="5" w:tplc="4664F048">
      <w:start w:val="1"/>
      <w:numFmt w:val="bullet"/>
      <w:lvlText w:val="■"/>
      <w:lvlJc w:val="left"/>
      <w:pPr>
        <w:ind w:left="4320" w:hanging="360"/>
      </w:pPr>
    </w:lvl>
    <w:lvl w:ilvl="6" w:tplc="9EDCFBB6">
      <w:start w:val="1"/>
      <w:numFmt w:val="bullet"/>
      <w:lvlText w:val="●"/>
      <w:lvlJc w:val="left"/>
      <w:pPr>
        <w:ind w:left="5040" w:hanging="360"/>
      </w:pPr>
    </w:lvl>
    <w:lvl w:ilvl="7" w:tplc="00C0246E">
      <w:start w:val="1"/>
      <w:numFmt w:val="bullet"/>
      <w:lvlText w:val="●"/>
      <w:lvlJc w:val="left"/>
      <w:pPr>
        <w:ind w:left="5760" w:hanging="360"/>
      </w:pPr>
    </w:lvl>
    <w:lvl w:ilvl="8" w:tplc="E31403DA">
      <w:start w:val="1"/>
      <w:numFmt w:val="bullet"/>
      <w:lvlText w:val="●"/>
      <w:lvlJc w:val="left"/>
      <w:pPr>
        <w:ind w:left="6480" w:hanging="360"/>
      </w:pPr>
    </w:lvl>
  </w:abstractNum>
  <w:abstractNum w:abstractNumId="1" w15:restartNumberingAfterBreak="0">
    <w:nsid w:val="21B60E72"/>
    <w:multiLevelType w:val="hybridMultilevel"/>
    <w:tmpl w:val="B4CECDAC"/>
    <w:lvl w:ilvl="0" w:tplc="B6EA9E7E">
      <w:start w:val="1"/>
      <w:numFmt w:val="bullet"/>
      <w:lvlText w:val="•"/>
      <w:lvlJc w:val="left"/>
      <w:pPr>
        <w:ind w:left="460" w:hanging="260"/>
      </w:pPr>
    </w:lvl>
    <w:lvl w:ilvl="1" w:tplc="C4C41C5A">
      <w:numFmt w:val="decimal"/>
      <w:lvlText w:val=""/>
      <w:lvlJc w:val="left"/>
    </w:lvl>
    <w:lvl w:ilvl="2" w:tplc="ED3A5CD8">
      <w:numFmt w:val="decimal"/>
      <w:lvlText w:val=""/>
      <w:lvlJc w:val="left"/>
    </w:lvl>
    <w:lvl w:ilvl="3" w:tplc="2624B6C6">
      <w:numFmt w:val="decimal"/>
      <w:lvlText w:val=""/>
      <w:lvlJc w:val="left"/>
    </w:lvl>
    <w:lvl w:ilvl="4" w:tplc="5108EF56">
      <w:numFmt w:val="decimal"/>
      <w:lvlText w:val=""/>
      <w:lvlJc w:val="left"/>
    </w:lvl>
    <w:lvl w:ilvl="5" w:tplc="46604340">
      <w:numFmt w:val="decimal"/>
      <w:lvlText w:val=""/>
      <w:lvlJc w:val="left"/>
    </w:lvl>
    <w:lvl w:ilvl="6" w:tplc="686A091A">
      <w:numFmt w:val="decimal"/>
      <w:lvlText w:val=""/>
      <w:lvlJc w:val="left"/>
    </w:lvl>
    <w:lvl w:ilvl="7" w:tplc="A9DCFCE0">
      <w:numFmt w:val="decimal"/>
      <w:lvlText w:val=""/>
      <w:lvlJc w:val="left"/>
    </w:lvl>
    <w:lvl w:ilvl="8" w:tplc="BC50B83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F2C"/>
    <w:rsid w:val="00891F2C"/>
    <w:rsid w:val="00D5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8537"/>
  <w15:docId w15:val="{39EAE79D-E099-4D27-9088-9C6896D14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1334</Words>
  <Characters>7609</Characters>
  <Application>Microsoft Office Word</Application>
  <DocSecurity>0</DocSecurity>
  <Lines>63</Lines>
  <Paragraphs>17</Paragraphs>
  <ScaleCrop>false</ScaleCrop>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2026-07-06T13:22:00Z</dcterms:created>
  <dcterms:modified xsi:type="dcterms:W3CDTF">2026-07-06T14:46:00Z</dcterms:modified>
</cp:coreProperties>
</file>