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6F67" w:rsidRDefault="00A00FDF">
      <w:pPr>
        <w:spacing w:before="1400" w:after="60"/>
        <w:jc w:val="center"/>
      </w:pPr>
      <w:proofErr w:type="spellStart"/>
      <w:r>
        <w:rPr>
          <w:b/>
          <w:bCs/>
          <w:color w:val="1F3864"/>
          <w:sz w:val="56"/>
          <w:szCs w:val="56"/>
        </w:rPr>
        <w:t>AccuPrompt</w:t>
      </w:r>
      <w:proofErr w:type="spellEnd"/>
    </w:p>
    <w:p w:rsidR="003E6F67" w:rsidRDefault="00A00FDF">
      <w:pPr>
        <w:spacing w:after="40"/>
        <w:jc w:val="center"/>
      </w:pPr>
      <w:r>
        <w:rPr>
          <w:color w:val="595959"/>
          <w:sz w:val="32"/>
          <w:szCs w:val="32"/>
        </w:rPr>
        <w:t>Testing Report</w:t>
      </w:r>
    </w:p>
    <w:p w:rsidR="003E6F67" w:rsidRDefault="00A00FDF">
      <w:pPr>
        <w:spacing w:after="40"/>
        <w:jc w:val="center"/>
      </w:pPr>
      <w:r>
        <w:rPr>
          <w:i/>
          <w:iCs/>
          <w:color w:val="595959"/>
        </w:rPr>
        <w:t>An accuracy-prompt browser extension for the moment of sharing</w:t>
      </w:r>
    </w:p>
    <w:p w:rsidR="003E6F67" w:rsidRDefault="00A00FDF">
      <w:pPr>
        <w:spacing w:before="400"/>
        <w:jc w:val="center"/>
      </w:pPr>
      <w:proofErr w:type="spellStart"/>
      <w:r>
        <w:rPr>
          <w:b/>
          <w:bCs/>
        </w:rPr>
        <w:t>Hirwa</w:t>
      </w:r>
      <w:proofErr w:type="spellEnd"/>
      <w:r>
        <w:rPr>
          <w:b/>
          <w:bCs/>
        </w:rPr>
        <w:t xml:space="preserve"> Armstrong Brian</w:t>
      </w:r>
    </w:p>
    <w:p w:rsidR="003E6F67" w:rsidRDefault="00A00FDF">
      <w:pPr>
        <w:jc w:val="center"/>
      </w:pPr>
      <w:bookmarkStart w:id="0" w:name="_GoBack"/>
      <w:bookmarkEnd w:id="0"/>
      <w:r>
        <w:rPr>
          <w:color w:val="595959"/>
        </w:rPr>
        <w:t xml:space="preserve">Supervisor: Kevin </w:t>
      </w:r>
      <w:proofErr w:type="spellStart"/>
      <w:r>
        <w:rPr>
          <w:color w:val="595959"/>
        </w:rPr>
        <w:t>Sebineza</w:t>
      </w:r>
      <w:proofErr w:type="spellEnd"/>
    </w:p>
    <w:p w:rsidR="003E6F67" w:rsidRDefault="00A00FDF">
      <w:r>
        <w:br w:type="page"/>
      </w:r>
    </w:p>
    <w:p w:rsidR="003E6F67" w:rsidRDefault="00A00FDF">
      <w:pPr>
        <w:pStyle w:val="Heading1"/>
        <w:spacing w:before="320" w:after="140"/>
      </w:pPr>
      <w:r>
        <w:rPr>
          <w:b/>
          <w:bCs/>
          <w:color w:val="1F3864"/>
        </w:rPr>
        <w:lastRenderedPageBreak/>
        <w:t>1. Overview</w:t>
      </w:r>
    </w:p>
    <w:p w:rsidR="003E6F67" w:rsidRDefault="00A00FDF">
      <w:pPr>
        <w:spacing w:after="120" w:line="300" w:lineRule="auto"/>
        <w:jc w:val="both"/>
      </w:pPr>
      <w:r>
        <w:t xml:space="preserve">This report documents the testing of </w:t>
      </w:r>
      <w:proofErr w:type="spellStart"/>
      <w:r>
        <w:t>AccuPrompt</w:t>
      </w:r>
      <w:proofErr w:type="spellEnd"/>
      <w:r>
        <w:t xml:space="preserve">, a Manifest V3 browser extension that shows a brief accuracy prompt at the moment a user shares content, on WhatsApp Web, Facebook Messenger, X, and Facebook. It records the testing strategies used, the </w:t>
      </w:r>
      <w:proofErr w:type="spellStart"/>
      <w:r>
        <w:t>behav</w:t>
      </w:r>
      <w:r>
        <w:t>iour</w:t>
      </w:r>
      <w:proofErr w:type="spellEnd"/>
      <w:r>
        <w:t xml:space="preserve"> observed across different input values, and how the product performs across different software environments. Because </w:t>
      </w:r>
      <w:proofErr w:type="spellStart"/>
      <w:r>
        <w:t>AccuPrompt</w:t>
      </w:r>
      <w:proofErr w:type="spellEnd"/>
      <w:r>
        <w:t xml:space="preserve"> operates by intercepting share actions inside third-party web applications and by talking to a local retrieval service, tes</w:t>
      </w:r>
      <w:r>
        <w:t>ting combined automated checks (unit and integration-level logic tests, type checking, and build verification) with manual live verification on each target platform.</w:t>
      </w:r>
    </w:p>
    <w:p w:rsidR="003E6F67" w:rsidRDefault="00A00FDF">
      <w:pPr>
        <w:spacing w:after="120" w:line="300" w:lineRule="auto"/>
        <w:jc w:val="both"/>
      </w:pPr>
      <w:r>
        <w:rPr>
          <w:b/>
          <w:bCs/>
        </w:rPr>
        <w:t xml:space="preserve">What is being tested. </w:t>
      </w:r>
      <w:r>
        <w:t>The product has four functional pillars: (1) share interception acro</w:t>
      </w:r>
      <w:r>
        <w:t>ss four platforms; (2) the accuracy prompt itself, with four message formulations selected by a multi-armed bandit; (3) a content-blind triggering gate that suppresses prompts on trivial messages; and (4) an optional retrieval-only evidence panel (RAG) tha</w:t>
      </w:r>
      <w:r>
        <w:t>t surfaces related human-written fact-checks, in English and draft Kinyarwanda. Each pillar is exercised below.</w:t>
      </w:r>
    </w:p>
    <w:p w:rsidR="003E6F67" w:rsidRDefault="00A00FDF">
      <w:pPr>
        <w:pStyle w:val="Heading1"/>
        <w:spacing w:before="320" w:after="140"/>
      </w:pPr>
      <w:r>
        <w:rPr>
          <w:b/>
          <w:bCs/>
          <w:color w:val="1F3864"/>
        </w:rPr>
        <w:t>2. Testing strategies</w:t>
      </w:r>
    </w:p>
    <w:p w:rsidR="003E6F67" w:rsidRDefault="00A00FDF">
      <w:pPr>
        <w:spacing w:after="120" w:line="300" w:lineRule="auto"/>
        <w:jc w:val="both"/>
      </w:pPr>
      <w:r>
        <w:t xml:space="preserve">Four complementary strategies were used. Each targets a different class of defect, and together they cover the logic, the </w:t>
      </w:r>
      <w:r>
        <w:t xml:space="preserve">type safety, the build integrity, and the real-world </w:t>
      </w:r>
      <w:proofErr w:type="spellStart"/>
      <w:r>
        <w:t>behaviour</w:t>
      </w:r>
      <w:proofErr w:type="spellEnd"/>
      <w:r>
        <w:t xml:space="preserve"> of the extension.</w:t>
      </w:r>
    </w:p>
    <w:p w:rsidR="003E6F67" w:rsidRDefault="00A00FDF">
      <w:pPr>
        <w:pStyle w:val="Heading2"/>
        <w:spacing w:before="240" w:after="100"/>
      </w:pPr>
      <w:r>
        <w:rPr>
          <w:b/>
          <w:bCs/>
          <w:color w:val="1F3864"/>
        </w:rPr>
        <w:t>2.1 Unit testing (decision logic)</w:t>
      </w:r>
    </w:p>
    <w:p w:rsidR="003E6F67" w:rsidRDefault="00A00FDF">
      <w:pPr>
        <w:spacing w:after="120" w:line="300" w:lineRule="auto"/>
        <w:jc w:val="both"/>
      </w:pPr>
      <w:r>
        <w:t>The triggering gate is the component with the most decision logic, so it carries a dedicated unit-test suite (</w:t>
      </w:r>
      <w:proofErr w:type="spellStart"/>
      <w:r>
        <w:rPr>
          <w:rFonts w:ascii="Consolas" w:eastAsia="Consolas" w:hAnsi="Consolas" w:cs="Consolas"/>
        </w:rPr>
        <w:t>src</w:t>
      </w:r>
      <w:proofErr w:type="spellEnd"/>
      <w:r>
        <w:rPr>
          <w:rFonts w:ascii="Consolas" w:eastAsia="Consolas" w:hAnsi="Consolas" w:cs="Consolas"/>
        </w:rPr>
        <w:t>/content/</w:t>
      </w:r>
      <w:proofErr w:type="spellStart"/>
      <w:r>
        <w:rPr>
          <w:rFonts w:ascii="Consolas" w:eastAsia="Consolas" w:hAnsi="Consolas" w:cs="Consolas"/>
        </w:rPr>
        <w:t>gate.test.ts</w:t>
      </w:r>
      <w:proofErr w:type="spellEnd"/>
      <w:r>
        <w:t xml:space="preserve">). The </w:t>
      </w:r>
      <w:r>
        <w:t>suite feeds the gate a range of representative messages and asserts the prompt/no-prompt decision for each, exercising the conservative “only prompt when claim-like” posture: trivial acknowledgements are suppressed, while messages carrying a link, numerals</w:t>
      </w:r>
      <w:r>
        <w:t>, or sufficient length trip the gate.</w:t>
      </w:r>
    </w:p>
    <w:p w:rsidR="003E6F67" w:rsidRDefault="00816ACD">
      <w:pPr>
        <w:pBdr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</w:pBdr>
        <w:shd w:val="clear" w:color="auto" w:fill="F2F2F2"/>
        <w:spacing w:before="100" w:after="160"/>
        <w:jc w:val="center"/>
      </w:pPr>
      <w:r>
        <w:rPr>
          <w:noProof/>
        </w:rPr>
        <w:drawing>
          <wp:inline distT="0" distB="0" distL="0" distR="0" wp14:anchorId="58534F25" wp14:editId="2D787DF3">
            <wp:extent cx="4013475" cy="961776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0754" cy="9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ACD" w:rsidRDefault="00816ACD">
      <w:pPr>
        <w:pBdr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</w:pBdr>
        <w:shd w:val="clear" w:color="auto" w:fill="F2F2F2"/>
        <w:spacing w:before="100" w:after="160"/>
        <w:jc w:val="center"/>
      </w:pPr>
      <w:r>
        <w:rPr>
          <w:noProof/>
        </w:rPr>
        <w:drawing>
          <wp:inline distT="0" distB="0" distL="0" distR="0" wp14:anchorId="7A020602" wp14:editId="3AAD8113">
            <wp:extent cx="4023653" cy="12010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0364" cy="122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F67" w:rsidRDefault="00A00FDF">
      <w:pPr>
        <w:spacing w:after="120" w:line="300" w:lineRule="auto"/>
        <w:jc w:val="both"/>
      </w:pPr>
      <w:r>
        <w:rPr>
          <w:b/>
          <w:bCs/>
        </w:rPr>
        <w:t>Representative cases and expected decisions: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3060"/>
        <w:gridCol w:w="2100"/>
      </w:tblGrid>
      <w:tr w:rsidR="003E6F6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6F67" w:rsidRDefault="00A00FDF">
            <w:r>
              <w:rPr>
                <w:b/>
                <w:bCs/>
                <w:color w:val="1F3864"/>
              </w:rPr>
              <w:lastRenderedPageBreak/>
              <w:t>Input message</w:t>
            </w:r>
          </w:p>
        </w:tc>
        <w:tc>
          <w:tcPr>
            <w:tcW w:w="306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6F67" w:rsidRDefault="00A00FDF">
            <w:r>
              <w:rPr>
                <w:b/>
                <w:bCs/>
                <w:color w:val="1F3864"/>
              </w:rPr>
              <w:t>Signal</w:t>
            </w:r>
          </w:p>
        </w:tc>
        <w:tc>
          <w:tcPr>
            <w:tcW w:w="21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6F67" w:rsidRDefault="00A00FDF">
            <w:r>
              <w:rPr>
                <w:b/>
                <w:bCs/>
                <w:color w:val="1F3864"/>
              </w:rPr>
              <w:t>Expected</w:t>
            </w:r>
          </w:p>
        </w:tc>
      </w:tr>
      <w:tr w:rsidR="003E6F6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6F67" w:rsidRDefault="00A00FDF">
            <w:r>
              <w:t>“ok”</w:t>
            </w:r>
          </w:p>
        </w:tc>
        <w:tc>
          <w:tcPr>
            <w:tcW w:w="30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6F67" w:rsidRDefault="00A00FDF">
            <w:r>
              <w:t>short, no signals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6F67" w:rsidRDefault="00A00FDF">
            <w:r>
              <w:t>No prompt</w:t>
            </w:r>
          </w:p>
        </w:tc>
      </w:tr>
      <w:tr w:rsidR="003E6F6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6F67" w:rsidRDefault="00A00FDF">
            <w:r>
              <w:t>“see you at 6”</w:t>
            </w:r>
          </w:p>
        </w:tc>
        <w:tc>
          <w:tcPr>
            <w:tcW w:w="30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6F67" w:rsidRDefault="00A00FDF">
            <w:r>
              <w:t>short, no signals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6F67" w:rsidRDefault="00A00FDF">
            <w:r>
              <w:t>No prompt</w:t>
            </w:r>
          </w:p>
        </w:tc>
      </w:tr>
      <w:tr w:rsidR="003E6F6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6F67" w:rsidRDefault="00A00FDF">
            <w:r>
              <w:t>“meeting at 3pm”</w:t>
            </w:r>
          </w:p>
        </w:tc>
        <w:tc>
          <w:tcPr>
            <w:tcW w:w="30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6F67" w:rsidRDefault="00A00FDF">
            <w:r>
              <w:t>numeric but too short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6F67" w:rsidRDefault="00A00FDF">
            <w:r>
              <w:t>No prompt</w:t>
            </w:r>
          </w:p>
        </w:tc>
      </w:tr>
      <w:tr w:rsidR="003E6F6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6F67" w:rsidRDefault="00A00FDF">
            <w:r>
              <w:t>“Putin has a net worth of $250bn”</w:t>
            </w:r>
          </w:p>
        </w:tc>
        <w:tc>
          <w:tcPr>
            <w:tcW w:w="30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6F67" w:rsidRDefault="00A00FDF">
            <w:r>
              <w:t>substantial + numerals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6F67" w:rsidRDefault="00A00FDF">
            <w:r>
              <w:t>Prompt</w:t>
            </w:r>
          </w:p>
        </w:tc>
      </w:tr>
      <w:tr w:rsidR="003E6F6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6F67" w:rsidRDefault="00A00FDF">
            <w:r>
              <w:t>“The vaccine causes autism in 1 of 3 children”</w:t>
            </w:r>
          </w:p>
        </w:tc>
        <w:tc>
          <w:tcPr>
            <w:tcW w:w="30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6F67" w:rsidRDefault="00A00FDF">
            <w:r>
              <w:t>substantial + numerals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6F67" w:rsidRDefault="00A00FDF">
            <w:r>
              <w:t>Prompt</w:t>
            </w:r>
          </w:p>
        </w:tc>
      </w:tr>
      <w:tr w:rsidR="003E6F6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6F67" w:rsidRDefault="00A00FDF">
            <w:r>
              <w:t>“check this https://example.com/news”</w:t>
            </w:r>
          </w:p>
        </w:tc>
        <w:tc>
          <w:tcPr>
            <w:tcW w:w="30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6F67" w:rsidRDefault="00A00FDF">
            <w:r>
              <w:t>contains a link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6F67" w:rsidRDefault="00A00FDF">
            <w:r>
              <w:t>Prompt</w:t>
            </w:r>
          </w:p>
        </w:tc>
      </w:tr>
      <w:tr w:rsidR="003E6F6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6F67" w:rsidRDefault="00A00FDF">
            <w:r>
              <w:t>(a long claim &gt; 120 chars, no numerals)</w:t>
            </w:r>
          </w:p>
        </w:tc>
        <w:tc>
          <w:tcPr>
            <w:tcW w:w="30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6F67" w:rsidRDefault="00A00FDF">
            <w:r>
              <w:t>long message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6F67" w:rsidRDefault="00A00FDF">
            <w:r>
              <w:t>Prompt</w:t>
            </w:r>
          </w:p>
        </w:tc>
      </w:tr>
    </w:tbl>
    <w:p w:rsidR="003E6F67" w:rsidRDefault="00A00FDF">
      <w:pPr>
        <w:pStyle w:val="Heading2"/>
        <w:spacing w:before="240" w:after="100"/>
      </w:pPr>
      <w:r>
        <w:rPr>
          <w:b/>
          <w:bCs/>
          <w:color w:val="1F3864"/>
        </w:rPr>
        <w:t>2.2 Integration-level logic testing (platform adapters)</w:t>
      </w:r>
    </w:p>
    <w:p w:rsidR="003E6F67" w:rsidRDefault="00A00FDF">
      <w:pPr>
        <w:spacing w:after="120" w:line="300" w:lineRule="auto"/>
        <w:jc w:val="both"/>
      </w:pPr>
      <w:r>
        <w:t>Share interception is factored into per-platform adapters behind a common interface, so the platform-selection and send-detection logic can be exercised without a live browser. Automated checks confirmed that each hostname resolves to the correct adapter (</w:t>
      </w:r>
      <w:r>
        <w:t>WhatsApp, Messenger, X, Facebook, and “none” for unrelated sites), and that the platform-specific se</w:t>
      </w:r>
      <w:r w:rsidR="003D2BEE">
        <w:t xml:space="preserve">nd semantics behave correctly </w:t>
      </w:r>
      <w:r>
        <w:t>most notably that plain Enter sends on WhatsApp/Messenger but is treated as a newline on X, where the keyboard send is Ctrl/</w:t>
      </w:r>
      <w:proofErr w:type="spellStart"/>
      <w:r>
        <w:t>Cmd+Enter</w:t>
      </w:r>
      <w:proofErr w:type="spellEnd"/>
      <w:r>
        <w:t>.</w:t>
      </w:r>
    </w:p>
    <w:p w:rsidR="003D2BEE" w:rsidRDefault="003D2BEE">
      <w:pPr>
        <w:spacing w:after="120" w:line="300" w:lineRule="auto"/>
        <w:jc w:val="both"/>
        <w:rPr>
          <w:noProof/>
        </w:rPr>
      </w:pPr>
      <w:r>
        <w:t>Examples:</w:t>
      </w:r>
      <w:r w:rsidRPr="003D2BEE">
        <w:rPr>
          <w:noProof/>
        </w:rPr>
        <w:t xml:space="preserve"> </w:t>
      </w:r>
    </w:p>
    <w:p w:rsidR="003D2BEE" w:rsidRDefault="003D2BEE" w:rsidP="003D2BEE">
      <w:pPr>
        <w:spacing w:after="120" w:line="300" w:lineRule="auto"/>
        <w:ind w:left="720"/>
        <w:jc w:val="both"/>
      </w:pPr>
      <w:r>
        <w:rPr>
          <w:noProof/>
        </w:rPr>
        <w:t>1. For messenger:</w:t>
      </w:r>
    </w:p>
    <w:p w:rsidR="003E6F67" w:rsidRDefault="003D2BEE" w:rsidP="003D2BEE">
      <w:pPr>
        <w:spacing w:after="120" w:line="300" w:lineRule="auto"/>
        <w:ind w:left="720"/>
        <w:jc w:val="both"/>
      </w:pPr>
      <w:r>
        <w:rPr>
          <w:noProof/>
        </w:rPr>
        <w:drawing>
          <wp:inline distT="0" distB="0" distL="0" distR="0" wp14:anchorId="0F7FBD35" wp14:editId="328A51B4">
            <wp:extent cx="3719945" cy="623965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9945" cy="62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F67" w:rsidRDefault="003D2BEE">
      <w:pPr>
        <w:pStyle w:val="Heading2"/>
        <w:spacing w:before="240" w:after="100"/>
      </w:pPr>
      <w:r>
        <w:rPr>
          <w:b/>
          <w:bCs/>
          <w:color w:val="1F3864"/>
        </w:rPr>
        <w:t>2.3</w:t>
      </w:r>
      <w:r w:rsidR="00A00FDF">
        <w:rPr>
          <w:b/>
          <w:bCs/>
          <w:color w:val="1F3864"/>
        </w:rPr>
        <w:t xml:space="preserve"> Manual live verification (target environment)</w:t>
      </w:r>
    </w:p>
    <w:p w:rsidR="003E6F67" w:rsidRDefault="00A00FDF">
      <w:pPr>
        <w:spacing w:after="120" w:line="300" w:lineRule="auto"/>
        <w:jc w:val="both"/>
      </w:pPr>
      <w:r>
        <w:t>Because the extension operates inside live, obfuscated third-party web applications, the decisive test is manual verification on each</w:t>
      </w:r>
      <w:r>
        <w:t xml:space="preserve"> real platform. With the extension loaded unpacked and the developer console open, a share/send action was performed on each platform and the console was checked for the interception log line and the appearance of the prompt. The local retrieval backend wa</w:t>
      </w:r>
      <w:r>
        <w:t>s started so the evidence panel could be exercised end-to-end.</w:t>
      </w:r>
    </w:p>
    <w:p w:rsidR="003E6F67" w:rsidRDefault="00A00FDF">
      <w:pPr>
        <w:pStyle w:val="Heading1"/>
        <w:spacing w:before="320" w:after="140"/>
      </w:pPr>
      <w:r>
        <w:rPr>
          <w:b/>
          <w:bCs/>
          <w:color w:val="1F3864"/>
        </w:rPr>
        <w:t>3. Testing with different data values</w:t>
      </w:r>
    </w:p>
    <w:p w:rsidR="003E6F67" w:rsidRDefault="00A00FDF">
      <w:pPr>
        <w:spacing w:after="120" w:line="300" w:lineRule="auto"/>
        <w:jc w:val="both"/>
      </w:pPr>
      <w:proofErr w:type="spellStart"/>
      <w:r>
        <w:t>AccuPrompt’s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 xml:space="preserve"> is data-dependent in three places: the gate reacts to the structure of the message, the evidence panel reacts to whether a claim exi</w:t>
      </w:r>
      <w:r>
        <w:t>sts in the corpus, and the interface reacts to the selected language. Each was tested with contrasting inputs.</w:t>
      </w:r>
    </w:p>
    <w:p w:rsidR="003E6F67" w:rsidRDefault="00A00FDF">
      <w:pPr>
        <w:pStyle w:val="Heading2"/>
        <w:spacing w:before="240" w:after="100"/>
      </w:pPr>
      <w:r>
        <w:rPr>
          <w:b/>
          <w:bCs/>
          <w:color w:val="1F3864"/>
        </w:rPr>
        <w:lastRenderedPageBreak/>
        <w:t>3.1 Gate: trivial vs. claim-like messages</w:t>
      </w:r>
    </w:p>
    <w:p w:rsidR="003E6F67" w:rsidRDefault="00A00FDF">
      <w:pPr>
        <w:spacing w:after="120" w:line="300" w:lineRule="auto"/>
        <w:jc w:val="both"/>
      </w:pPr>
      <w:r>
        <w:t>With the gat</w:t>
      </w:r>
      <w:r w:rsidR="003D2BEE">
        <w:t xml:space="preserve">e enabled, trivial messages (“hell”, “Hello) produced no </w:t>
      </w:r>
      <w:proofErr w:type="gramStart"/>
      <w:r w:rsidR="003D2BEE">
        <w:t xml:space="preserve">prompt </w:t>
      </w:r>
      <w:r>
        <w:t xml:space="preserve"> the</w:t>
      </w:r>
      <w:proofErr w:type="gramEnd"/>
      <w:r>
        <w:t xml:space="preserve"> console logged </w:t>
      </w:r>
      <w:r>
        <w:t>a gate-skip with the reas</w:t>
      </w:r>
      <w:r w:rsidR="003D2BEE">
        <w:t xml:space="preserve">on “short / no claim signals” </w:t>
      </w:r>
      <w:r>
        <w:t>while claim-like messages (a statement with figures, or one carrying a link) produced the prompt. This confirms the gate discriminates on structure as designed.</w:t>
      </w:r>
    </w:p>
    <w:p w:rsidR="003E6F67" w:rsidRDefault="003D2BEE">
      <w:pPr>
        <w:pBdr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</w:pBdr>
        <w:shd w:val="clear" w:color="auto" w:fill="F2F2F2"/>
        <w:spacing w:before="100" w:after="160"/>
        <w:jc w:val="center"/>
      </w:pPr>
      <w:r>
        <w:rPr>
          <w:noProof/>
        </w:rPr>
        <w:drawing>
          <wp:inline distT="0" distB="0" distL="0" distR="0" wp14:anchorId="66EE74B5" wp14:editId="23461AED">
            <wp:extent cx="5943600" cy="29673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F67" w:rsidRDefault="00A00FDF">
      <w:pPr>
        <w:pStyle w:val="Heading2"/>
        <w:spacing w:before="240" w:after="100"/>
      </w:pPr>
      <w:r>
        <w:rPr>
          <w:b/>
          <w:bCs/>
          <w:color w:val="1F3864"/>
        </w:rPr>
        <w:t>3.2 Evidence panel: in-corpus vs. out-of-corpus claims</w:t>
      </w:r>
    </w:p>
    <w:p w:rsidR="003E6F67" w:rsidRDefault="00A00FDF">
      <w:pPr>
        <w:spacing w:after="120" w:line="300" w:lineRule="auto"/>
        <w:jc w:val="both"/>
      </w:pPr>
      <w:r>
        <w:t>The retrieval panel is deliberately silent for messages with no close match in the fact-check corpus (similarity threshold 0.5), and appear</w:t>
      </w:r>
      <w:r>
        <w:t>s only for known claims. Tested with an in-corpus claim (“vaccines cause autism”) the panel returned related fact-checks with their verdict labels and human-written justifications; tested with an everyday out-of-corpus message the panel correctly showed no</w:t>
      </w:r>
      <w:r>
        <w:t xml:space="preserve">thing. This threshold </w:t>
      </w:r>
      <w:proofErr w:type="spellStart"/>
      <w:r>
        <w:t>behaviour</w:t>
      </w:r>
      <w:proofErr w:type="spellEnd"/>
      <w:r>
        <w:t xml:space="preserve"> was tuned empirically: a genuine match scored ~0.69–0.76, a vague query ~0.40–0.43, and unrelated text ~0.28, giving a clean separation at 0.5.</w:t>
      </w:r>
    </w:p>
    <w:p w:rsidR="003E6F67" w:rsidRDefault="003D2BEE">
      <w:pPr>
        <w:pBdr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</w:pBdr>
        <w:shd w:val="clear" w:color="auto" w:fill="F2F2F2"/>
        <w:spacing w:before="100" w:after="160"/>
        <w:jc w:val="center"/>
      </w:pPr>
      <w:r>
        <w:rPr>
          <w:noProof/>
        </w:rPr>
        <w:lastRenderedPageBreak/>
        <w:drawing>
          <wp:inline distT="0" distB="0" distL="0" distR="0" wp14:anchorId="3B8256A5" wp14:editId="368E7EBA">
            <wp:extent cx="2127405" cy="3178158"/>
            <wp:effectExtent l="0" t="0" r="635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4791" cy="318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F67" w:rsidRDefault="00A00FDF">
      <w:pPr>
        <w:spacing w:after="120" w:line="300" w:lineRule="auto"/>
        <w:jc w:val="both"/>
      </w:pPr>
      <w:r>
        <w:rPr>
          <w:b/>
          <w:bCs/>
        </w:rPr>
        <w:t>Differ</w:t>
      </w:r>
      <w:r>
        <w:rPr>
          <w:b/>
          <w:bCs/>
        </w:rPr>
        <w:t xml:space="preserve">ent verdict values. </w:t>
      </w:r>
      <w:r>
        <w:t xml:space="preserve">The corpus carries four verdict categories, and the panel </w:t>
      </w:r>
      <w:proofErr w:type="spellStart"/>
      <w:r>
        <w:t>colour</w:t>
      </w:r>
      <w:proofErr w:type="spellEnd"/>
      <w:r>
        <w:t>-codes each: Refuted (red tone), Supported (green tone), and the neutral Not Enough Evidence and Conflicting Evidence/</w:t>
      </w:r>
      <w:proofErr w:type="spellStart"/>
      <w:r>
        <w:t>Cherrypicking</w:t>
      </w:r>
      <w:proofErr w:type="spellEnd"/>
      <w:r>
        <w:t>. Testing with claims of different verdic</w:t>
      </w:r>
      <w:r>
        <w:t>ts confirmed the correct label and tone were shown for each.</w:t>
      </w:r>
    </w:p>
    <w:p w:rsidR="003E6F67" w:rsidRDefault="00A00FDF">
      <w:pPr>
        <w:pStyle w:val="Heading2"/>
        <w:spacing w:before="240" w:after="100"/>
      </w:pPr>
      <w:r>
        <w:rPr>
          <w:b/>
          <w:bCs/>
          <w:color w:val="1F3864"/>
        </w:rPr>
        <w:t>3.3 Language: English vs. Kinyarwanda</w:t>
      </w:r>
    </w:p>
    <w:p w:rsidR="003E6F67" w:rsidRDefault="00A00FDF">
      <w:pPr>
        <w:spacing w:after="120" w:line="300" w:lineRule="auto"/>
        <w:jc w:val="both"/>
      </w:pPr>
      <w:r>
        <w:t>Switching to Kinyarwanda (via the popup or the keyboard toggle) re-rendered the prompt and the evidence panel in Kinyarwanda. Where a translated justificatio</w:t>
      </w:r>
      <w:r>
        <w:t>n existed it was shown with an amber “auto-translated, not yet reviewed” notice; where none existed the panel fell back to the English text with a note; and draft verdict labels appeared with a provisional “(</w:t>
      </w:r>
      <w:proofErr w:type="spellStart"/>
      <w:r>
        <w:t>agateganyo</w:t>
      </w:r>
      <w:proofErr w:type="spellEnd"/>
      <w:r>
        <w:t xml:space="preserve">)” marker while the </w:t>
      </w:r>
      <w:proofErr w:type="spellStart"/>
      <w:r>
        <w:t>colour</w:t>
      </w:r>
      <w:proofErr w:type="spellEnd"/>
      <w:r>
        <w:t xml:space="preserve"> stayed keye</w:t>
      </w:r>
      <w:r>
        <w:t>d to the English verdict. This confirms the honesty safeguards behave correctly under both languages.</w:t>
      </w:r>
    </w:p>
    <w:p w:rsidR="003E6F67" w:rsidRDefault="00A00FDF">
      <w:pPr>
        <w:pBdr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</w:pBdr>
        <w:shd w:val="clear" w:color="auto" w:fill="F2F2F2"/>
        <w:spacing w:before="100" w:after="160"/>
        <w:jc w:val="center"/>
      </w:pPr>
      <w:r>
        <w:rPr>
          <w:noProof/>
        </w:rPr>
        <w:lastRenderedPageBreak/>
        <w:drawing>
          <wp:inline distT="0" distB="0" distL="0" distR="0" wp14:anchorId="6E732228" wp14:editId="5797D669">
            <wp:extent cx="2067689" cy="3306669"/>
            <wp:effectExtent l="0" t="0" r="889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5919" cy="331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F67" w:rsidRDefault="00A00FDF">
      <w:pPr>
        <w:pStyle w:val="Heading1"/>
        <w:spacing w:before="320" w:after="140"/>
      </w:pPr>
      <w:r>
        <w:rPr>
          <w:b/>
          <w:bCs/>
          <w:color w:val="1F3864"/>
        </w:rPr>
        <w:t>4. Performance across software environments</w:t>
      </w:r>
    </w:p>
    <w:p w:rsidR="003E6F67" w:rsidRDefault="00A00FDF">
      <w:pPr>
        <w:spacing w:after="120" w:line="300" w:lineRule="auto"/>
        <w:jc w:val="both"/>
      </w:pPr>
      <w:proofErr w:type="spellStart"/>
      <w:r>
        <w:t>A</w:t>
      </w:r>
      <w:r>
        <w:t>ccu</w:t>
      </w:r>
      <w:r>
        <w:t>Prompt</w:t>
      </w:r>
      <w:proofErr w:type="spellEnd"/>
      <w:r>
        <w:t xml:space="preserve"> has two runtime parts with different environment sensitivities: the extension (runs in the browser) and the local retrieval backend (runs on the workstation). Both were exercised across the environments below.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600"/>
        <w:gridCol w:w="2400"/>
      </w:tblGrid>
      <w:tr w:rsidR="003E6F6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6F67" w:rsidRDefault="00A00FDF">
            <w:r>
              <w:rPr>
                <w:b/>
                <w:bCs/>
                <w:color w:val="1F3864"/>
              </w:rPr>
              <w:t>Environment / condition</w:t>
            </w:r>
          </w:p>
        </w:tc>
        <w:tc>
          <w:tcPr>
            <w:tcW w:w="36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6F67" w:rsidRDefault="00A00FDF">
            <w:r>
              <w:rPr>
                <w:b/>
                <w:bCs/>
                <w:color w:val="1F3864"/>
              </w:rPr>
              <w:t>What was tested</w:t>
            </w:r>
          </w:p>
        </w:tc>
        <w:tc>
          <w:tcPr>
            <w:tcW w:w="2400" w:type="dxa"/>
            <w:shd w:val="clear" w:color="auto" w:fill="D9E1F2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6F67" w:rsidRDefault="00A00FDF">
            <w:r>
              <w:rPr>
                <w:b/>
                <w:bCs/>
                <w:color w:val="1F3864"/>
              </w:rPr>
              <w:t>Result</w:t>
            </w:r>
          </w:p>
        </w:tc>
      </w:tr>
      <w:tr w:rsidR="003E6F67">
        <w:tblPrEx>
          <w:tblCellMar>
            <w:top w:w="0" w:type="dxa"/>
            <w:bottom w:w="0" w:type="dxa"/>
          </w:tblCellMar>
        </w:tblPrEx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6F67" w:rsidRDefault="00A00FDF">
            <w:r>
              <w:t>Chrome / Chromium (MV3)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6F67" w:rsidRDefault="00A00FDF">
            <w:r>
              <w:t>Extension load, injection, interception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6F67" w:rsidRDefault="00A00FDF">
            <w:r>
              <w:t>Loads and intercepts as expected</w:t>
            </w:r>
          </w:p>
        </w:tc>
      </w:tr>
      <w:tr w:rsidR="003E6F67">
        <w:tblPrEx>
          <w:tblCellMar>
            <w:top w:w="0" w:type="dxa"/>
            <w:bottom w:w="0" w:type="dxa"/>
          </w:tblCellMar>
        </w:tblPrEx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6F67" w:rsidRDefault="00A00FDF">
            <w:r>
              <w:t>Four platforms (WhatsApp, Messenger, X, Facebook)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6F67" w:rsidRDefault="00A00FDF">
            <w:r>
              <w:t>Share/send detection on each live site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6F67" w:rsidRDefault="00A00FDF">
            <w:r>
              <w:t>Interception verified on each</w:t>
            </w:r>
          </w:p>
        </w:tc>
      </w:tr>
      <w:tr w:rsidR="003E6F67">
        <w:tblPrEx>
          <w:tblCellMar>
            <w:top w:w="0" w:type="dxa"/>
            <w:bottom w:w="0" w:type="dxa"/>
          </w:tblCellMar>
        </w:tblPrEx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6F67" w:rsidRDefault="00A00FDF">
            <w:r>
              <w:t>Backend running vs. not running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6F67" w:rsidRDefault="00A00FDF">
            <w:r>
              <w:t xml:space="preserve">Evidence-panel </w:t>
            </w:r>
            <w:proofErr w:type="spellStart"/>
            <w:r>
              <w:t>behaviour</w:t>
            </w:r>
            <w:proofErr w:type="spellEnd"/>
            <w:r>
              <w:t xml:space="preserve"> under backend failure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6F67" w:rsidRDefault="00A00FDF">
            <w:r>
              <w:t>Prompt still works; panel degrades gracefully</w:t>
            </w:r>
          </w:p>
        </w:tc>
      </w:tr>
      <w:tr w:rsidR="003E6F67">
        <w:tblPrEx>
          <w:tblCellMar>
            <w:top w:w="0" w:type="dxa"/>
            <w:bottom w:w="0" w:type="dxa"/>
          </w:tblCellMar>
        </w:tblPrEx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6F67" w:rsidRDefault="00A00FDF">
            <w:r>
              <w:t>Backend first run vs. warm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6F67" w:rsidRDefault="00A00FDF">
            <w:r>
              <w:t>Embedding-model download on first start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6F67" w:rsidRDefault="00A00FDF">
            <w:r>
              <w:t>One-time ~90MB download, then fast</w:t>
            </w:r>
          </w:p>
        </w:tc>
      </w:tr>
      <w:tr w:rsidR="003E6F67">
        <w:tblPrEx>
          <w:tblCellMar>
            <w:top w:w="0" w:type="dxa"/>
            <w:bottom w:w="0" w:type="dxa"/>
          </w:tblCellMar>
        </w:tblPrEx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6F67" w:rsidRDefault="00A00FDF">
            <w:r>
              <w:t>Gate on vs. gate off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6F67" w:rsidRDefault="00A00FDF">
            <w:r>
              <w:t>Prompt frequency (A/B arms)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6F67" w:rsidRDefault="00A00FDF">
            <w:r>
              <w:t>Off = every send; On = claim-like only</w:t>
            </w:r>
          </w:p>
        </w:tc>
      </w:tr>
      <w:tr w:rsidR="003E6F67">
        <w:tblPrEx>
          <w:tblCellMar>
            <w:top w:w="0" w:type="dxa"/>
            <w:bottom w:w="0" w:type="dxa"/>
          </w:tblCellMar>
        </w:tblPrEx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6F67" w:rsidRDefault="00A00FDF">
            <w:r>
              <w:t>Evidence on vs. off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6F67" w:rsidRDefault="00A00FDF">
            <w:r>
              <w:t>Retrieval presence (A/B arms)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6F67" w:rsidRDefault="00A00FDF">
            <w:r>
              <w:t>Independently switchable from popup</w:t>
            </w:r>
          </w:p>
        </w:tc>
      </w:tr>
    </w:tbl>
    <w:p w:rsidR="003E6F67" w:rsidRDefault="00A00FDF">
      <w:pPr>
        <w:spacing w:after="120" w:line="300" w:lineRule="auto"/>
        <w:jc w:val="both"/>
      </w:pPr>
      <w:r>
        <w:rPr>
          <w:b/>
          <w:bCs/>
        </w:rPr>
        <w:t xml:space="preserve">Graceful degradation (a key resilience result). </w:t>
      </w:r>
      <w:r>
        <w:t>When the backend was deliberately not running, a share still produced the accuracy prompt and the user could still choose an outcome; only the optional evidence panel was absent, and it failed silently rather than blocking the core function. This was obser</w:t>
      </w:r>
      <w:r>
        <w:t xml:space="preserve">ved directly </w:t>
      </w:r>
      <w:r>
        <w:lastRenderedPageBreak/>
        <w:t>in testing (a connection-refused entry appeared in the console while the prompt continued to work), confirming that retrieval failure never prevents the intervention.</w:t>
      </w:r>
    </w:p>
    <w:p w:rsidR="003E6F67" w:rsidRDefault="00A00FDF">
      <w:pPr>
        <w:pBdr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</w:pBdr>
        <w:shd w:val="clear" w:color="auto" w:fill="F2F2F2"/>
        <w:spacing w:before="100" w:after="160"/>
        <w:jc w:val="center"/>
      </w:pPr>
      <w:r>
        <w:rPr>
          <w:noProof/>
        </w:rPr>
        <w:drawing>
          <wp:inline distT="0" distB="0" distL="0" distR="0" wp14:anchorId="0B33A74E" wp14:editId="0496B289">
            <wp:extent cx="5288692" cy="2194581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0139" cy="2195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F67" w:rsidRDefault="00A00FDF">
      <w:pPr>
        <w:pStyle w:val="Heading1"/>
        <w:spacing w:before="320" w:after="140"/>
      </w:pPr>
      <w:r>
        <w:rPr>
          <w:b/>
          <w:bCs/>
          <w:color w:val="1F3864"/>
        </w:rPr>
        <w:t>5. Summary of testing</w:t>
      </w:r>
    </w:p>
    <w:p w:rsidR="003E6F67" w:rsidRDefault="00A00FDF">
      <w:pPr>
        <w:spacing w:after="120" w:line="300" w:lineRule="auto"/>
        <w:jc w:val="both"/>
      </w:pPr>
      <w:r>
        <w:t>Across the four strategies, the core functionalities behaved as designed: interception fired on all four platforms; the gate discriminated trivial from claim-like messages; the evidence panel appeared only for in-c</w:t>
      </w:r>
      <w:r>
        <w:t>orpus claims and degraded gracefully when the backend was down; and the bilingual interface applied its honesty safeguards under both languages. The automated logic tests, type checking, and build verification passed on every accepted change, and the manua</w:t>
      </w:r>
      <w:r>
        <w:t xml:space="preserve">l live checks confirmed the </w:t>
      </w:r>
      <w:proofErr w:type="spellStart"/>
      <w:r>
        <w:t>behaviour</w:t>
      </w:r>
      <w:proofErr w:type="spellEnd"/>
      <w:r>
        <w:t xml:space="preserve"> in the real target environment.</w:t>
      </w:r>
    </w:p>
    <w:p w:rsidR="003E6F67" w:rsidRDefault="00A00FDF">
      <w:pPr>
        <w:spacing w:after="120" w:line="300" w:lineRule="auto"/>
        <w:jc w:val="both"/>
      </w:pPr>
      <w:r>
        <w:rPr>
          <w:b/>
          <w:bCs/>
        </w:rPr>
        <w:t xml:space="preserve">Known limitations surfaced by testing. </w:t>
      </w:r>
      <w:r>
        <w:t>Interception depends on platform-specific selectors in obfuscated, frequently-changing web interfaces; the Facebook share hook in particular relies</w:t>
      </w:r>
      <w:r>
        <w:t xml:space="preserve"> on an English interface string and is language-dependent. These are documented so that a future maintainer knows where </w:t>
      </w:r>
      <w:proofErr w:type="spellStart"/>
      <w:r>
        <w:t>behaviour</w:t>
      </w:r>
      <w:proofErr w:type="spellEnd"/>
      <w:r>
        <w:t xml:space="preserve"> is most likely to break, and are discussed further in the accompanying Analysis, Discussion and Recommendations report.</w:t>
      </w:r>
    </w:p>
    <w:sectPr w:rsidR="003E6F6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4407BA"/>
    <w:multiLevelType w:val="hybridMultilevel"/>
    <w:tmpl w:val="5042567E"/>
    <w:lvl w:ilvl="0" w:tplc="B94C35BA">
      <w:start w:val="1"/>
      <w:numFmt w:val="bullet"/>
      <w:lvlText w:val="●"/>
      <w:lvlJc w:val="left"/>
      <w:pPr>
        <w:ind w:left="720" w:hanging="360"/>
      </w:pPr>
    </w:lvl>
    <w:lvl w:ilvl="1" w:tplc="AF32C5A0">
      <w:start w:val="1"/>
      <w:numFmt w:val="bullet"/>
      <w:lvlText w:val="○"/>
      <w:lvlJc w:val="left"/>
      <w:pPr>
        <w:ind w:left="1440" w:hanging="360"/>
      </w:pPr>
    </w:lvl>
    <w:lvl w:ilvl="2" w:tplc="18DE3DBA">
      <w:start w:val="1"/>
      <w:numFmt w:val="bullet"/>
      <w:lvlText w:val="■"/>
      <w:lvlJc w:val="left"/>
      <w:pPr>
        <w:ind w:left="2160" w:hanging="360"/>
      </w:pPr>
    </w:lvl>
    <w:lvl w:ilvl="3" w:tplc="66FA15A8">
      <w:start w:val="1"/>
      <w:numFmt w:val="bullet"/>
      <w:lvlText w:val="●"/>
      <w:lvlJc w:val="left"/>
      <w:pPr>
        <w:ind w:left="2880" w:hanging="360"/>
      </w:pPr>
    </w:lvl>
    <w:lvl w:ilvl="4" w:tplc="1A243FAA">
      <w:start w:val="1"/>
      <w:numFmt w:val="bullet"/>
      <w:lvlText w:val="○"/>
      <w:lvlJc w:val="left"/>
      <w:pPr>
        <w:ind w:left="3600" w:hanging="360"/>
      </w:pPr>
    </w:lvl>
    <w:lvl w:ilvl="5" w:tplc="F0B4B568">
      <w:start w:val="1"/>
      <w:numFmt w:val="bullet"/>
      <w:lvlText w:val="■"/>
      <w:lvlJc w:val="left"/>
      <w:pPr>
        <w:ind w:left="4320" w:hanging="360"/>
      </w:pPr>
    </w:lvl>
    <w:lvl w:ilvl="6" w:tplc="0B6A50DC">
      <w:start w:val="1"/>
      <w:numFmt w:val="bullet"/>
      <w:lvlText w:val="●"/>
      <w:lvlJc w:val="left"/>
      <w:pPr>
        <w:ind w:left="5040" w:hanging="360"/>
      </w:pPr>
    </w:lvl>
    <w:lvl w:ilvl="7" w:tplc="593E119A">
      <w:start w:val="1"/>
      <w:numFmt w:val="bullet"/>
      <w:lvlText w:val="●"/>
      <w:lvlJc w:val="left"/>
      <w:pPr>
        <w:ind w:left="5760" w:hanging="360"/>
      </w:pPr>
    </w:lvl>
    <w:lvl w:ilvl="8" w:tplc="BBC62F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077803"/>
    <w:multiLevelType w:val="hybridMultilevel"/>
    <w:tmpl w:val="CFCAEDEA"/>
    <w:lvl w:ilvl="0" w:tplc="D3B8C8A2">
      <w:start w:val="1"/>
      <w:numFmt w:val="bullet"/>
      <w:lvlText w:val="•"/>
      <w:lvlJc w:val="left"/>
      <w:pPr>
        <w:ind w:left="460" w:hanging="260"/>
      </w:pPr>
    </w:lvl>
    <w:lvl w:ilvl="1" w:tplc="95508126">
      <w:numFmt w:val="decimal"/>
      <w:lvlText w:val=""/>
      <w:lvlJc w:val="left"/>
    </w:lvl>
    <w:lvl w:ilvl="2" w:tplc="0EA64CDA">
      <w:numFmt w:val="decimal"/>
      <w:lvlText w:val=""/>
      <w:lvlJc w:val="left"/>
    </w:lvl>
    <w:lvl w:ilvl="3" w:tplc="AA6A2A58">
      <w:numFmt w:val="decimal"/>
      <w:lvlText w:val=""/>
      <w:lvlJc w:val="left"/>
    </w:lvl>
    <w:lvl w:ilvl="4" w:tplc="C0B6799C">
      <w:numFmt w:val="decimal"/>
      <w:lvlText w:val=""/>
      <w:lvlJc w:val="left"/>
    </w:lvl>
    <w:lvl w:ilvl="5" w:tplc="F0D83530">
      <w:numFmt w:val="decimal"/>
      <w:lvlText w:val=""/>
      <w:lvlJc w:val="left"/>
    </w:lvl>
    <w:lvl w:ilvl="6" w:tplc="CF20965A">
      <w:numFmt w:val="decimal"/>
      <w:lvlText w:val=""/>
      <w:lvlJc w:val="left"/>
    </w:lvl>
    <w:lvl w:ilvl="7" w:tplc="7BA84CEC">
      <w:numFmt w:val="decimal"/>
      <w:lvlText w:val=""/>
      <w:lvlJc w:val="left"/>
    </w:lvl>
    <w:lvl w:ilvl="8" w:tplc="6D7469C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6F67"/>
    <w:rsid w:val="003D2BEE"/>
    <w:rsid w:val="003E6F67"/>
    <w:rsid w:val="00816ACD"/>
    <w:rsid w:val="00A00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E72C2"/>
  <w15:docId w15:val="{F80CE3B4-D85A-4E93-ADA3-41B374B22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1216</Words>
  <Characters>6936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2026-07-06T13:20:00Z</dcterms:created>
  <dcterms:modified xsi:type="dcterms:W3CDTF">2026-07-06T14:37:00Z</dcterms:modified>
</cp:coreProperties>
</file>