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GitHub release guide</w:t>
      </w:r>
    </w:p>
    <w:p>
      <w:r>
        <w:t xml:space="preserve">Project repository: </w:t>
      </w:r>
      <w:hyperlink r:id="rId11">
        <w:r>
          <w:rPr>
            <w:color w:val="176B87"/>
          </w:rPr>
          <w:t>Hisernberg/mri-conference-research</w:t>
        </w:r>
      </w:hyperlink>
      <w:r>
        <w:t xml:space="preserve">, with private visibility. The </w:t>
      </w:r>
      <w:hyperlink r:id="rId12">
        <w:r>
          <w:rPr>
            <w:color w:val="176B87"/>
          </w:rPr>
          <w:t>v1.2.0 architecture and research release</w:t>
        </w:r>
      </w:hyperlink>
      <w:r>
        <w:t xml:space="preserve"> adds explicit novelty/contribution positioning, research questions, complete README ablation/evaluation tables, original architecture plates and a methods guide. The manuscript incorporates the same architecture and component findings. The </w:t>
      </w:r>
      <w:hyperlink r:id="rId13">
        <w:r>
          <w:rPr>
            <w:color w:val="176B87"/>
          </w:rPr>
          <w:t>v1.1.0 writing release</w:t>
        </w:r>
      </w:hyperlink>
      <w:r>
        <w:t xml:space="preserve">, with its 20 verified Kaggle visualizations and executed gallery, and the original </w:t>
      </w:r>
      <w:hyperlink r:id="rId14">
        <w:r>
          <w:rPr>
            <w:color w:val="176B87"/>
          </w:rPr>
          <w:t>v1.0.0 experiment release</w:t>
        </w:r>
      </w:hyperlink>
      <w:r>
        <w:t xml:space="preserve"> are preserved. Each release identifies its tagged source and downloadable asset checksums. Repository access requires the owner's GitHub account or an explicit collaborator invitation.</w:t>
      </w:r>
    </w:p>
    <w:p>
      <w:r>
        <w:t xml:space="preserve">Start with the root README, </w:t>
      </w:r>
      <w:hyperlink r:id="rId15">
        <w:r>
          <w:rPr>
            <w:color w:val="176B87"/>
          </w:rPr>
          <w:t>notebook index</w:t>
        </w:r>
      </w:hyperlink>
      <w:r>
        <w:t xml:space="preserve">, </w:t>
      </w:r>
      <w:hyperlink r:id="rId16">
        <w:r>
          <w:rPr>
            <w:color w:val="176B87"/>
          </w:rPr>
          <w:t>Kaggle run index</w:t>
        </w:r>
      </w:hyperlink>
      <w:r>
        <w:t xml:space="preserve"> and </w:t>
      </w:r>
      <w:hyperlink r:id="rId17">
        <w:r>
          <w:rPr>
            <w:color w:val="176B87"/>
          </w:rPr>
          <w:t>results index</w:t>
        </w:r>
      </w:hyperlink>
      <w:r>
        <w:t xml:space="preserve">. Kaggle runs remain private under </w:t>
      </w:r>
      <w:r>
        <w:rPr>
          <w:rFonts w:ascii="Liberation Mono" w:hAnsi="Liberation Mono"/>
          <w:b w:val="0"/>
          <w:i w:val="0"/>
          <w:sz w:val="16"/>
        </w:rPr>
        <w:t>dasshovon</w:t>
      </w:r>
      <w:r>
        <w:t>; their access is separate from GitHub repository access. The publication preserves the reported experiments and frozen source snapshots.</w:t>
      </w:r>
    </w:p>
    <w:p>
      <w:pPr>
        <w:pStyle w:val="Heading2"/>
      </w:pPr>
      <w:r>
        <w:t>Repository contents</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pPr>
              <w:keepNext/>
              <w:keepLines/>
              <w:spacing w:after="80"/>
            </w:pPr>
            <w:r>
              <w:rPr>
                <w:b/>
                <w:sz w:val="17"/>
              </w:rPr>
              <w:t>Path</w:t>
            </w:r>
          </w:p>
        </w:tc>
        <w:tc>
          <w:tcPr>
            <w:tcW w:type="dxa" w:w="5018"/>
          </w:tcPr>
          <w:p>
            <w:pPr>
              <w:keepNext/>
              <w:keepLines/>
              <w:spacing w:after="80"/>
            </w:pPr>
            <w:r>
              <w:rPr>
                <w:b/>
                <w:sz w:val="17"/>
              </w:rPr>
              <w:t>Purpose</w:t>
            </w:r>
          </w:p>
        </w:tc>
      </w:tr>
      <w:tr>
        <w:trPr>
          <w:cantSplit/>
        </w:trPr>
        <w:tc>
          <w:tcPr>
            <w:tcW w:type="dxa" w:w="5018"/>
          </w:tcPr>
          <w:p>
            <w:pPr>
              <w:keepNext w:val="0"/>
              <w:keepLines/>
              <w:spacing w:after="80"/>
            </w:pPr>
            <w:r>
              <w:rPr>
                <w:rFonts w:ascii="Liberation Mono" w:hAnsi="Liberation Mono"/>
                <w:b w:val="0"/>
                <w:i w:val="0"/>
                <w:sz w:val="17"/>
              </w:rPr>
              <w:t>README.md</w:t>
            </w:r>
          </w:p>
        </w:tc>
        <w:tc>
          <w:tcPr>
            <w:tcW w:type="dxa" w:w="5018"/>
          </w:tcPr>
          <w:p>
            <w:pPr>
              <w:keepNext w:val="0"/>
              <w:keepLines/>
              <w:spacing w:after="80"/>
            </w:pPr>
            <w:r>
              <w:rPr>
                <w:sz w:val="17"/>
              </w:rPr>
              <w:t>Entry point and honest current result status</w:t>
            </w:r>
          </w:p>
        </w:tc>
      </w:tr>
      <w:tr>
        <w:trPr>
          <w:cantSplit/>
        </w:trPr>
        <w:tc>
          <w:tcPr>
            <w:tcW w:type="dxa" w:w="5018"/>
          </w:tcPr>
          <w:p>
            <w:pPr>
              <w:keepNext w:val="0"/>
              <w:keepLines/>
              <w:spacing w:after="80"/>
            </w:pPr>
            <w:r>
              <w:rPr>
                <w:rFonts w:ascii="Liberation Mono" w:hAnsi="Liberation Mono"/>
                <w:b w:val="0"/>
                <w:i w:val="0"/>
                <w:sz w:val="17"/>
              </w:rPr>
              <w:t>EXPERIMENT_PLAN.md</w:t>
            </w:r>
          </w:p>
        </w:tc>
        <w:tc>
          <w:tcPr>
            <w:tcW w:type="dxa" w:w="5018"/>
          </w:tcPr>
          <w:p>
            <w:pPr>
              <w:keepNext w:val="0"/>
              <w:keepLines/>
              <w:spacing w:after="80"/>
            </w:pPr>
            <w:r>
              <w:rPr>
                <w:sz w:val="17"/>
              </w:rPr>
              <w:t>Protocol and dated amendments</w:t>
            </w:r>
          </w:p>
        </w:tc>
      </w:tr>
      <w:tr>
        <w:trPr>
          <w:cantSplit/>
        </w:trPr>
        <w:tc>
          <w:tcPr>
            <w:tcW w:type="dxa" w:w="5018"/>
          </w:tcPr>
          <w:p>
            <w:pPr>
              <w:keepNext w:val="0"/>
              <w:keepLines/>
              <w:spacing w:after="80"/>
            </w:pPr>
            <w:r>
              <w:rPr>
                <w:rFonts w:ascii="Liberation Mono" w:hAnsi="Liberation Mono"/>
                <w:b w:val="0"/>
                <w:i w:val="0"/>
                <w:sz w:val="17"/>
              </w:rPr>
              <w:t>docs/</w:t>
            </w:r>
          </w:p>
        </w:tc>
        <w:tc>
          <w:tcPr>
            <w:tcW w:type="dxa" w:w="5018"/>
          </w:tcPr>
          <w:p>
            <w:pPr>
              <w:keepNext w:val="0"/>
              <w:keepLines/>
              <w:spacing w:after="80"/>
            </w:pPr>
            <w:r>
              <w:rPr>
                <w:sz w:val="17"/>
              </w:rPr>
              <w:t>Dataset card, notebook audit, operation guide, results, architecture methods and PDF copies</w:t>
            </w:r>
          </w:p>
        </w:tc>
      </w:tr>
      <w:tr>
        <w:trPr>
          <w:cantSplit/>
        </w:trPr>
        <w:tc>
          <w:tcPr>
            <w:tcW w:type="dxa" w:w="5018"/>
          </w:tcPr>
          <w:p>
            <w:pPr>
              <w:keepNext w:val="0"/>
              <w:keepLines/>
              <w:spacing w:after="80"/>
            </w:pPr>
            <w:r>
              <w:rPr>
                <w:rFonts w:ascii="Liberation Mono" w:hAnsi="Liberation Mono"/>
                <w:b w:val="0"/>
                <w:i w:val="0"/>
                <w:sz w:val="17"/>
              </w:rPr>
              <w:t>docs/figures/</w:t>
            </w:r>
          </w:p>
        </w:tc>
        <w:tc>
          <w:tcPr>
            <w:tcW w:type="dxa" w:w="5018"/>
          </w:tcPr>
          <w:p>
            <w:pPr>
              <w:keepNext w:val="0"/>
              <w:keepLines/>
              <w:spacing w:after="80"/>
            </w:pPr>
            <w:r>
              <w:rPr>
                <w:sz w:val="17"/>
              </w:rPr>
              <w:t>Original architecture plates, editable vector exports and source/shape manifest</w:t>
            </w:r>
          </w:p>
        </w:tc>
      </w:tr>
      <w:tr>
        <w:trPr>
          <w:cantSplit/>
        </w:trPr>
        <w:tc>
          <w:tcPr>
            <w:tcW w:type="dxa" w:w="5018"/>
          </w:tcPr>
          <w:p>
            <w:pPr>
              <w:keepNext w:val="0"/>
              <w:keepLines/>
              <w:spacing w:after="80"/>
            </w:pPr>
            <w:r>
              <w:rPr>
                <w:rFonts w:ascii="Liberation Mono" w:hAnsi="Liberation Mono"/>
                <w:b w:val="0"/>
                <w:i w:val="0"/>
                <w:sz w:val="17"/>
              </w:rPr>
              <w:t>notebooks/</w:t>
            </w:r>
          </w:p>
        </w:tc>
        <w:tc>
          <w:tcPr>
            <w:tcW w:type="dxa" w:w="5018"/>
          </w:tcPr>
          <w:p>
            <w:pPr>
              <w:keepNext w:val="0"/>
              <w:keepLines/>
              <w:spacing w:after="80"/>
            </w:pPr>
            <w:r>
              <w:rPr>
                <w:sz w:val="17"/>
              </w:rPr>
              <w:t>Two research sources and one supporting CPU visualization source</w:t>
            </w:r>
          </w:p>
        </w:tc>
      </w:tr>
      <w:tr>
        <w:trPr>
          <w:cantSplit/>
        </w:trPr>
        <w:tc>
          <w:tcPr>
            <w:tcW w:type="dxa" w:w="5018"/>
          </w:tcPr>
          <w:p>
            <w:pPr>
              <w:keepNext w:val="0"/>
              <w:keepLines/>
              <w:spacing w:after="80"/>
            </w:pPr>
            <w:r>
              <w:rPr>
                <w:rFonts w:ascii="Liberation Mono" w:hAnsi="Liberation Mono"/>
                <w:b w:val="0"/>
                <w:i w:val="0"/>
                <w:sz w:val="17"/>
              </w:rPr>
              <w:t>paper/</w:t>
            </w:r>
          </w:p>
        </w:tc>
        <w:tc>
          <w:tcPr>
            <w:tcW w:type="dxa" w:w="5018"/>
          </w:tcPr>
          <w:p>
            <w:pPr>
              <w:keepNext w:val="0"/>
              <w:keepLines/>
              <w:spacing w:after="80"/>
            </w:pPr>
            <w:r>
              <w:rPr>
                <w:sz w:val="17"/>
              </w:rPr>
              <w:t>Editable tables, references and claim-evidence map</w:t>
            </w:r>
          </w:p>
        </w:tc>
      </w:tr>
      <w:tr>
        <w:trPr>
          <w:cantSplit/>
        </w:trPr>
        <w:tc>
          <w:tcPr>
            <w:tcW w:type="dxa" w:w="5018"/>
          </w:tcPr>
          <w:p>
            <w:pPr>
              <w:keepNext w:val="0"/>
              <w:keepLines/>
              <w:spacing w:after="80"/>
            </w:pPr>
            <w:r>
              <w:rPr>
                <w:rFonts w:ascii="Liberation Mono" w:hAnsi="Liberation Mono"/>
                <w:b w:val="0"/>
                <w:i w:val="0"/>
                <w:sz w:val="17"/>
              </w:rPr>
              <w:t>classification/</w:t>
            </w:r>
          </w:p>
        </w:tc>
        <w:tc>
          <w:tcPr>
            <w:tcW w:type="dxa" w:w="5018"/>
          </w:tcPr>
          <w:p>
            <w:pPr>
              <w:keepNext w:val="0"/>
              <w:keepLines/>
              <w:spacing w:after="80"/>
            </w:pPr>
            <w:r>
              <w:rPr>
                <w:sz w:val="17"/>
              </w:rPr>
              <w:t>Readable classification models and grouped experiment runner</w:t>
            </w:r>
          </w:p>
        </w:tc>
      </w:tr>
      <w:tr>
        <w:trPr>
          <w:cantSplit/>
        </w:trPr>
        <w:tc>
          <w:tcPr>
            <w:tcW w:type="dxa" w:w="5018"/>
          </w:tcPr>
          <w:p>
            <w:pPr>
              <w:keepNext w:val="0"/>
              <w:keepLines/>
              <w:spacing w:after="80"/>
            </w:pPr>
            <w:r>
              <w:rPr>
                <w:rFonts w:ascii="Liberation Mono" w:hAnsi="Liberation Mono"/>
                <w:b w:val="0"/>
                <w:i w:val="0"/>
                <w:sz w:val="17"/>
              </w:rPr>
              <w:t>segmentation/src/qmmf/</w:t>
            </w:r>
          </w:p>
        </w:tc>
        <w:tc>
          <w:tcPr>
            <w:tcW w:type="dxa" w:w="5018"/>
          </w:tcPr>
          <w:p>
            <w:pPr>
              <w:keepNext w:val="0"/>
              <w:keepLines/>
              <w:spacing w:after="80"/>
            </w:pPr>
            <w:r>
              <w:rPr>
                <w:sz w:val="17"/>
              </w:rPr>
              <w:t>Reviewed segmentation library</w:t>
            </w:r>
          </w:p>
        </w:tc>
      </w:tr>
      <w:tr>
        <w:trPr>
          <w:cantSplit/>
        </w:trPr>
        <w:tc>
          <w:tcPr>
            <w:tcW w:type="dxa" w:w="5018"/>
          </w:tcPr>
          <w:p>
            <w:pPr>
              <w:keepNext w:val="0"/>
              <w:keepLines/>
              <w:spacing w:after="80"/>
            </w:pPr>
            <w:r>
              <w:rPr>
                <w:rFonts w:ascii="Liberation Mono" w:hAnsi="Liberation Mono"/>
                <w:b w:val="0"/>
                <w:i w:val="0"/>
                <w:sz w:val="17"/>
              </w:rPr>
              <w:t>segmentation/scripts/conference_run.py</w:t>
            </w:r>
          </w:p>
        </w:tc>
        <w:tc>
          <w:tcPr>
            <w:tcW w:type="dxa" w:w="5018"/>
          </w:tcPr>
          <w:p>
            <w:pPr>
              <w:keepNext w:val="0"/>
              <w:keepLines/>
              <w:spacing w:after="80"/>
            </w:pPr>
            <w:r>
              <w:rPr>
                <w:sz w:val="17"/>
              </w:rPr>
              <w:t>CPU preparation and private GPU development workflow</w:t>
            </w:r>
          </w:p>
        </w:tc>
      </w:tr>
      <w:tr>
        <w:trPr>
          <w:cantSplit/>
        </w:trPr>
        <w:tc>
          <w:tcPr>
            <w:tcW w:type="dxa" w:w="5018"/>
          </w:tcPr>
          <w:p>
            <w:pPr>
              <w:keepNext w:val="0"/>
              <w:keepLines/>
              <w:spacing w:after="80"/>
            </w:pPr>
            <w:r>
              <w:rPr>
                <w:rFonts w:ascii="Liberation Mono" w:hAnsi="Liberation Mono"/>
                <w:b w:val="0"/>
                <w:i w:val="0"/>
                <w:sz w:val="17"/>
              </w:rPr>
              <w:t>tests/</w:t>
            </w:r>
            <w:r>
              <w:rPr>
                <w:sz w:val="17"/>
              </w:rPr>
              <w:t xml:space="preserve">, </w:t>
            </w:r>
            <w:r>
              <w:rPr>
                <w:rFonts w:ascii="Liberation Mono" w:hAnsi="Liberation Mono"/>
                <w:b w:val="0"/>
                <w:i w:val="0"/>
                <w:sz w:val="17"/>
              </w:rPr>
              <w:t>segmentation/tests/</w:t>
            </w:r>
          </w:p>
        </w:tc>
        <w:tc>
          <w:tcPr>
            <w:tcW w:type="dxa" w:w="5018"/>
          </w:tcPr>
          <w:p>
            <w:pPr>
              <w:keepNext w:val="0"/>
              <w:keepLines/>
              <w:spacing w:after="80"/>
            </w:pPr>
            <w:r>
              <w:rPr>
                <w:sz w:val="17"/>
              </w:rPr>
              <w:t>Scientific invariants and synthetic integration tests</w:t>
            </w:r>
          </w:p>
        </w:tc>
      </w:tr>
      <w:tr>
        <w:trPr>
          <w:cantSplit/>
        </w:trPr>
        <w:tc>
          <w:tcPr>
            <w:tcW w:type="dxa" w:w="5018"/>
          </w:tcPr>
          <w:p>
            <w:pPr>
              <w:keepNext w:val="0"/>
              <w:keepLines/>
              <w:spacing w:after="80"/>
            </w:pPr>
            <w:r>
              <w:rPr>
                <w:rFonts w:ascii="Liberation Mono" w:hAnsi="Liberation Mono"/>
                <w:b w:val="0"/>
                <w:i w:val="0"/>
                <w:sz w:val="17"/>
              </w:rPr>
              <w:t>scripts/</w:t>
            </w:r>
          </w:p>
        </w:tc>
        <w:tc>
          <w:tcPr>
            <w:tcW w:type="dxa" w:w="5018"/>
          </w:tcPr>
          <w:p>
            <w:pPr>
              <w:keepNext w:val="0"/>
              <w:keepLines/>
              <w:spacing w:after="80"/>
            </w:pPr>
            <w:r>
              <w:rPr>
                <w:sz w:val="17"/>
              </w:rPr>
              <w:t>Notebook generation, authorized Kaggle API operations and document/release tooling</w:t>
            </w:r>
          </w:p>
        </w:tc>
      </w:tr>
      <w:tr>
        <w:trPr>
          <w:cantSplit/>
        </w:trPr>
        <w:tc>
          <w:tcPr>
            <w:tcW w:type="dxa" w:w="5018"/>
          </w:tcPr>
          <w:p>
            <w:pPr>
              <w:keepNext w:val="0"/>
              <w:keepLines/>
              <w:spacing w:after="80"/>
            </w:pPr>
            <w:r>
              <w:rPr>
                <w:rFonts w:ascii="Liberation Mono" w:hAnsi="Liberation Mono"/>
                <w:b w:val="0"/>
                <w:i w:val="0"/>
                <w:sz w:val="17"/>
              </w:rPr>
              <w:t>results/</w:t>
            </w:r>
          </w:p>
        </w:tc>
        <w:tc>
          <w:tcPr>
            <w:tcW w:type="dxa" w:w="5018"/>
          </w:tcPr>
          <w:p>
            <w:pPr>
              <w:keepNext w:val="0"/>
              <w:keepLines/>
              <w:spacing w:after="80"/>
            </w:pPr>
            <w:r>
              <w:rPr>
                <w:sz w:val="17"/>
              </w:rPr>
              <w:t>Curated aggregate results, manifests and verification evidence</w:t>
            </w:r>
          </w:p>
        </w:tc>
      </w:tr>
      <w:tr>
        <w:trPr>
          <w:cantSplit/>
        </w:trPr>
        <w:tc>
          <w:tcPr>
            <w:tcW w:type="dxa" w:w="5018"/>
          </w:tcPr>
          <w:p>
            <w:pPr>
              <w:keepNext w:val="0"/>
              <w:keepLines/>
              <w:spacing w:after="80"/>
            </w:pPr>
            <w:r>
              <w:rPr>
                <w:rFonts w:ascii="Liberation Mono" w:hAnsi="Liberation Mono"/>
                <w:b w:val="0"/>
                <w:i w:val="0"/>
                <w:sz w:val="17"/>
              </w:rPr>
              <w:t>audit/</w:t>
            </w:r>
          </w:p>
        </w:tc>
        <w:tc>
          <w:tcPr>
            <w:tcW w:type="dxa" w:w="5018"/>
          </w:tcPr>
          <w:p>
            <w:pPr>
              <w:keepNext w:val="0"/>
              <w:keepLines/>
              <w:spacing w:after="80"/>
            </w:pPr>
            <w:r>
              <w:rPr>
                <w:sz w:val="17"/>
              </w:rPr>
              <w:t>Original hashes, extracted code/output evidence and audit provenance</w:t>
            </w:r>
          </w:p>
        </w:tc>
      </w:tr>
      <w:tr>
        <w:trPr>
          <w:cantSplit/>
        </w:trPr>
        <w:tc>
          <w:tcPr>
            <w:tcW w:type="dxa" w:w="5018"/>
          </w:tcPr>
          <w:p>
            <w:pPr>
              <w:keepNext w:val="0"/>
              <w:keepLines/>
              <w:spacing w:after="80"/>
            </w:pPr>
            <w:r>
              <w:rPr>
                <w:rFonts w:ascii="Liberation Mono" w:hAnsi="Liberation Mono"/>
                <w:b w:val="0"/>
                <w:i w:val="0"/>
                <w:sz w:val="17"/>
              </w:rPr>
              <w:t>kaggle/</w:t>
            </w:r>
          </w:p>
        </w:tc>
        <w:tc>
          <w:tcPr>
            <w:tcW w:type="dxa" w:w="5018"/>
          </w:tcPr>
          <w:p>
            <w:pPr>
              <w:keepNext w:val="0"/>
              <w:keepLines/>
              <w:spacing w:after="80"/>
            </w:pPr>
            <w:r>
              <w:rPr>
                <w:sz w:val="17"/>
              </w:rPr>
              <w:t>Generated submission bundles and private kernel metadata</w:t>
            </w:r>
          </w:p>
        </w:tc>
      </w:tr>
    </w:tbl>
    <w:p/>
    <w:p>
      <w:r>
        <w:t xml:space="preserve">Full MRI volumes, classification images, caches, credentials, large checkpoints and complete downloaded Kaggle runtime folders are excluded by </w:t>
      </w:r>
      <w:r>
        <w:rPr>
          <w:rFonts w:ascii="Liberation Mono" w:hAnsi="Liberation Mono"/>
          <w:b w:val="0"/>
          <w:i w:val="0"/>
          <w:sz w:val="16"/>
        </w:rPr>
        <w:t>.gitignore</w:t>
      </w:r>
      <w:r>
        <w:t xml:space="preserve">. Checkpoints should be distributed separately only if appropriate, with a model card and checksum; they should not be force-added to Git history. The verified derived MSD single-slice panels carry a separate CC BY-SA 4.0 attribution notice in </w:t>
      </w:r>
      <w:r>
        <w:rPr>
          <w:rFonts w:ascii="Liberation Mono" w:hAnsi="Liberation Mono"/>
          <w:b w:val="0"/>
          <w:i w:val="0"/>
          <w:sz w:val="16"/>
        </w:rPr>
        <w:t>results/segmentation_protected/qualitative/ATTRIBUTION.md</w:t>
      </w:r>
      <w:r>
        <w:t>. Preserve that notice with the figures; it does not establish a license for the research code or classification images.</w:t>
      </w:r>
    </w:p>
    <w:p>
      <w:pPr>
        <w:pStyle w:val="Heading2"/>
      </w:pPr>
      <w:r>
        <w:t>Reproducibility record</w:t>
      </w:r>
    </w:p>
    <w:p>
      <w:r>
        <w:t>For each reported experiment, retain the Kaggle URL and version, source hash, complete resolved configuration, data fingerprint, split hash, package/hardware environment, seed, selected checkpoint epoch, completed-run count, OOF or case-level prediction/metric files, and uncertainty calculation. Distinguish historical notebook results from new Kaggle execution and synthetic tests.</w:t>
      </w:r>
    </w:p>
    <w:p>
      <w:r>
        <w:rPr>
          <w:rFonts w:ascii="Liberation Mono" w:hAnsi="Liberation Mono"/>
          <w:b w:val="0"/>
          <w:i w:val="0"/>
          <w:sz w:val="16"/>
        </w:rPr>
        <w:t>audit/source_snapshots/</w:t>
      </w:r>
      <w:r>
        <w:t xml:space="preserve"> preserves exact submitted source dictionaries and execution cells. This lets later source improvements coexist with an auditable record of the code behind earlier results. Retain frozen group maps, exposure exclusions, per-case/per-group scores and cache conversion inventories. The release builder includes curated per-run JSON/CSV records while excluding binary checkpoints and MRI arrays.</w:t>
      </w:r>
    </w:p>
    <w:p>
      <w:r>
        <w:t xml:space="preserve">Preserve the retrospective original-notebook exposure audit and </w:t>
      </w:r>
      <w:r>
        <w:rPr>
          <w:rFonts w:ascii="Liberation Mono" w:hAnsi="Liberation Mono"/>
          <w:b w:val="0"/>
          <w:i w:val="0"/>
          <w:sz w:val="16"/>
        </w:rPr>
        <w:t>audit/historical_exposure_sensitivity_protocol.json</w:t>
      </w:r>
      <w:r>
        <w:t>. Seven reserved groups include cases from earlier recorded validation. The supplementary 15-group analysis must remain labeled exploratory, with its freeze timing and the complete 51-group results retained. The historical audit and sensitivity analysis read source/metadata and verified metric tables; they add no MRI inference or training.</w:t>
      </w:r>
    </w:p>
    <w:p>
      <w:r>
        <w:t>This release verifies 105 classification fits, three corrected segmentation pilot fits, 27 main segmentation fits and 12 reserved checkpoint evaluations. Main segmentation uses three seeds on grouped development fold 0; it is not four-fold cross-validation. The complete reserved report includes verified qualitative panels and the frozen historical sensitivity. Retain the negative quality-conditioning result and empty-reference failures. Do not publish an accuracy target, invented result, unsupported novelty claim or an inferred conference acceptance claim.</w:t>
      </w:r>
    </w:p>
    <w:p>
      <w:r>
        <w:t>The dataset documentation records current metadata licenses. Source-code authorship and license are not specified by the supplied files; choose a code license only after the authors confirm the rights to the embedded code. Do not automatically apply a permissive code license to the MRI datasets or third-party implementations.</w:t>
      </w:r>
    </w:p>
    <w:p>
      <w:pPr>
        <w:pStyle w:val="Heading2"/>
      </w:pPr>
      <w:r>
        <w:t>Clone and reproduce the release</w:t>
      </w:r>
    </w:p>
    <w:p>
      <w:r>
        <w:t>With Git and the GitHub CLI installed, authenticate using your own account and clone the private repository:</w:t>
      </w:r>
    </w:p>
    <w:p>
      <w:pPr>
        <w:spacing w:after="160"/>
      </w:pPr>
      <w:r>
        <w:rPr>
          <w:rFonts w:ascii="Liberation Mono" w:hAnsi="Liberation Mono"/>
          <w:sz w:val="15"/>
        </w:rPr>
        <w:t>gh auth login</w:t>
        <w:br/>
        <w:t>gh repo clone Hisernberg/mri-conference-research</w:t>
        <w:br/>
        <w:t>cd mri-conference-research</w:t>
        <w:br/>
        <w:t>git checkout v1.2.0</w:t>
      </w:r>
    </w:p>
    <w:p>
      <w:r>
        <w:t xml:space="preserve">Install </w:t>
      </w:r>
      <w:r>
        <w:rPr>
          <w:rFonts w:ascii="Liberation Mono" w:hAnsi="Liberation Mono"/>
          <w:b w:val="0"/>
          <w:i w:val="0"/>
          <w:sz w:val="16"/>
        </w:rPr>
        <w:t>requirements-dev.txt</w:t>
      </w:r>
      <w:r>
        <w:t xml:space="preserve"> in a suitable local Python environment, then run the verification suite, regenerate the notebooks from the reviewed source, regenerate the document PDFs, and inspect the release-file inventory. PDF conversion also requires the LibreOffice command-line application. Keep original notebook provenance, but use cleared generated notebooks for source publication; separately release executed artifacts that were inspected for credentials and private paths. Rebuilding after source changes can produce a new source hash; preserve the submitted snapshots that support the reported results.</w:t>
      </w:r>
    </w:p>
    <w:p>
      <w:pPr>
        <w:spacing w:after="160"/>
      </w:pPr>
      <w:r>
        <w:rPr>
          <w:rFonts w:ascii="Liberation Mono" w:hAnsi="Liberation Mono"/>
          <w:sz w:val="15"/>
        </w:rPr>
        <w:t>PYTHONPATH=segmentation/src python -m pytest tests segmentation/tests -q</w:t>
        <w:br/>
        <w:t>python scripts/build_notebooks.py classification</w:t>
        <w:br/>
        <w:t>python scripts/build_notebooks.py preparation</w:t>
        <w:br/>
        <w:t>python scripts/build_notebooks.py segmentation \</w:t>
        <w:br/>
        <w:t xml:space="preserve">  --scope study --seed 42 --fold 0 \</w:t>
        <w:br/>
        <w:t xml:space="preserve">  --epochs 120 --steps 100 --val-every 10 \</w:t>
        <w:br/>
        <w:t xml:space="preserve">  --budget-seconds 29000 --slug mri-segmentation-study-s42</w:t>
        <w:br/>
        <w:t>python scripts/render_documents.py</w:t>
        <w:br/>
        <w:t>libreoffice -env:UserInstallation=file:///tmp/mri-docs-libreoffice \</w:t>
        <w:br/>
        <w:t xml:space="preserve">  --headless --convert-to pdf:writer_pdf_Export \</w:t>
        <w:br/>
        <w:t xml:space="preserve">  --outdir docs/pdf docs/docx/*.docx</w:t>
        <w:br/>
        <w:t>python scripts/build_release.py</w:t>
      </w:r>
    </w:p>
    <w:p>
      <w:r>
        <w:t xml:space="preserve">Authenticate Kaggle with an environment variable or external token file. Never paste a token into an </w:t>
      </w:r>
      <w:r>
        <w:rPr>
          <w:rFonts w:ascii="Liberation Mono" w:hAnsi="Liberation Mono"/>
          <w:b w:val="0"/>
          <w:i w:val="0"/>
          <w:sz w:val="16"/>
        </w:rPr>
        <w:t>.ipynb</w:t>
      </w:r>
      <w:r>
        <w:t>, Markdown document, kernel metadata file, commit message or screenshot. The provided token is stored outside this repository in the current local workspace.</w:t>
      </w:r>
    </w:p>
    <w:p>
      <w:pPr>
        <w:pStyle w:val="Heading2"/>
      </w:pPr>
      <w:r>
        <w:t>Prepare later updates</w:t>
      </w:r>
    </w:p>
    <w:p>
      <w:r>
        <w:t>Preserve the released tag and its exact experiment snapshots. Prepare later changes on a branch, inspect the staged contents and push that branch to the same private repository. Publishing a later result requires its own completed evidence and updated release notes.</w:t>
      </w:r>
    </w:p>
    <w:p>
      <w:pPr>
        <w:spacing w:after="160"/>
      </w:pPr>
      <w:r>
        <w:rPr>
          <w:rFonts w:ascii="Liberation Mono" w:hAnsi="Liberation Mono"/>
          <w:sz w:val="15"/>
        </w:rPr>
        <w:t>git switch main</w:t>
        <w:br/>
        <w:t>git switch -c docs/update-research-record</w:t>
        <w:br/>
        <w:t>git add README.md EXPERIMENT_PLAN.md .gitignore .gitattributes \</w:t>
        <w:br/>
        <w:t xml:space="preserve">  requirements.txt requirements-dev.txt</w:t>
        <w:br/>
        <w:t>git add docs notebooks classification segmentation scripts tests results audit kaggle paper</w:t>
        <w:br/>
        <w:t>git diff --cached --stat</w:t>
        <w:br/>
        <w:t>git diff --cached --check</w:t>
        <w:br/>
        <w:t>git commit -m "Update MRI research documentation and evidence"</w:t>
        <w:br/>
        <w:t>git push -u origin docs/update-research-record</w:t>
      </w:r>
    </w:p>
    <w:p>
      <w:r>
        <w:t xml:space="preserve">Before running the broad </w:t>
      </w:r>
      <w:r>
        <w:rPr>
          <w:rFonts w:ascii="Liberation Mono" w:hAnsi="Liberation Mono"/>
          <w:b w:val="0"/>
          <w:i w:val="0"/>
          <w:sz w:val="16"/>
        </w:rPr>
        <w:t>git add</w:t>
      </w:r>
      <w:r>
        <w:t xml:space="preserve"> commands, ensure the generated release inventory and secret check have passed. No credential file, raw dataset, derived volume cache or large model file belongs in the staging area.</w:t>
      </w:r>
    </w:p>
    <w:p>
      <w:r>
        <w:t xml:space="preserve">The release builder writes </w:t>
      </w:r>
      <w:r>
        <w:rPr>
          <w:rFonts w:ascii="Liberation Mono" w:hAnsi="Liberation Mono"/>
          <w:b w:val="0"/>
          <w:i w:val="0"/>
          <w:sz w:val="16"/>
        </w:rPr>
        <w:t>../mri_conference_release.zip</w:t>
      </w:r>
      <w:r>
        <w:t xml:space="preserve"> with an embedded file inventory and scans for Kaggle and GitHub credential patterns. Keep the downloadable archive as a release asset rather than duplicating it in Git history. GitHub releases also provide source archives for the tagged commit.</w:t>
      </w:r>
    </w:p>
    <w:p>
      <w:r>
        <w:t xml:space="preserve">The v1.2.0 architecture update performs a synthetic CPU shape trace and document generation, without new MRI training or inference. Its source/configuration checks and export hashes are in </w:t>
      </w:r>
      <w:r>
        <w:rPr>
          <w:rFonts w:ascii="Liberation Mono" w:hAnsi="Liberation Mono"/>
          <w:b w:val="0"/>
          <w:i w:val="0"/>
          <w:sz w:val="16"/>
        </w:rPr>
        <w:t>docs/figures/architecture_manifest.json</w:t>
      </w:r>
      <w:r>
        <w:t xml:space="preserve">; the update record is </w:t>
      </w:r>
      <w:r>
        <w:rPr>
          <w:rFonts w:ascii="Liberation Mono" w:hAnsi="Liberation Mono"/>
          <w:b w:val="0"/>
          <w:i w:val="0"/>
          <w:sz w:val="16"/>
        </w:rPr>
        <w:t>audit/architecture_publication_record.json</w:t>
      </w:r>
      <w:r>
        <w:t>. Dated v1.0/v1.1 documentation receipts describe those historical releases, not the hashes of subsequently revised writing files. Frozen experimental records and all 20 Kaggle figure bytes retain their original identities.</w:t>
      </w:r>
    </w:p>
    <w:p>
      <w:pPr>
        <w:pStyle w:val="Heading2"/>
      </w:pPr>
      <w:r>
        <w:t>Suggested repository description and paper positioning</w:t>
      </w:r>
    </w:p>
    <w:p>
      <w:r>
        <w:t>Suggested description: “Audited MRI classification and missing-modality segmentation experiments with grouped/case splits, reproducible Kaggle execution and explicit ablation evidence.”</w:t>
      </w:r>
    </w:p>
    <w:p>
      <w:r>
        <w:t>The main research direction is reliable incomplete-modality segmentation. The completed three-seed ablations and reserved evaluation do not support a quality-conditioning benefit; the no-quality control performs better on the reserved endpoints. The small image-classification benchmark is separate supporting work. A broader conference claim still needs strong current comparator implementations, independent cohort validation or a carefully limited claim, and an author-led assessment of novelty. Do not combine the two datasets into one headline performance number.</w:t>
      </w:r>
    </w:p>
    <w:p>
      <w:r>
        <w:t>Add author names, affiliations, contact information, chosen code license and paper citation when those details exist. Avoid invented authors or a placeholder DOI presented as a real citation. A release tag should identify a frozen protocol and actual completed artifacts, with subsequent amendments recorded separately.</w:t>
      </w:r>
    </w:p>
    <w:p>
      <w:pPr>
        <w:pStyle w:val="Heading2"/>
      </w:pPr>
      <w:r>
        <w:t>Conference writing extension</w:t>
      </w:r>
    </w:p>
    <w:p>
      <w:r>
        <w:t xml:space="preserve">The 20-figure outputs were downloaded from completed Kaggle notebook version 1 and independently checked. The executed gallery preserves every image output; it is retained under </w:t>
      </w:r>
      <w:r>
        <w:rPr>
          <w:rFonts w:ascii="Liberation Mono" w:hAnsi="Liberation Mono"/>
          <w:b w:val="0"/>
          <w:i w:val="0"/>
          <w:sz w:val="16"/>
        </w:rPr>
        <w:t>results/conference_figures/</w:t>
      </w:r>
      <w:r>
        <w:t>. Individual charts, plotted data, the atlas and caption catalog are indexed by the root README. The eight table sets are generated from frozen evidence with source/output hashes. The manuscript remains a venue-neutral draft requiring real author and institutional declarations.</w:t>
      </w:r>
    </w:p>
    <w:p>
      <w:r>
        <w:t>The experiment completion record and original publication receipt describe their dated snapshots. The new visualization verification and Git history identify the subsequent writing extension. Documentation may evolve without rewriting the frozen scientific source, metrics, protocols or v1.0.0 tag.</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isernberg/mri-conference-research" TargetMode="External"/><Relationship Id="rId12" Type="http://schemas.openxmlformats.org/officeDocument/2006/relationships/hyperlink" Target="https://github.com/Hisernberg/mri-conference-research/releases/tag/v1.2.0" TargetMode="External"/><Relationship Id="rId13" Type="http://schemas.openxmlformats.org/officeDocument/2006/relationships/hyperlink" Target="https://github.com/Hisernberg/mri-conference-research/releases/tag/v1.1.0" TargetMode="External"/><Relationship Id="rId14" Type="http://schemas.openxmlformats.org/officeDocument/2006/relationships/hyperlink" Target="https://github.com/Hisernberg/mri-conference-research/releases/tag/v1.0.0" TargetMode="External"/><Relationship Id="rId15" Type="http://schemas.openxmlformats.org/officeDocument/2006/relationships/hyperlink" Target="../../notebooks/README.md" TargetMode="External"/><Relationship Id="rId16" Type="http://schemas.openxmlformats.org/officeDocument/2006/relationships/hyperlink" Target="../../kaggle/README.md" TargetMode="External"/><Relationship Id="rId17" Type="http://schemas.openxmlformats.org/officeDocument/2006/relationships/hyperlink" Target="../../result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