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Conference writing and visualization plan</w:t>
      </w:r>
    </w:p>
    <w:p>
      <w:r>
        <w:t>This extension turns the completed research release into a writing package. The experiment matrices, checkpoint choices, frozen protocols and reported scores remain those of release v1.0.0. No additional model training, inference, test-set tuning or hypothesis selection is part of this extension. A separate Kaggle CPU notebook renders the figure collection from the frozen evidence.</w:t>
      </w:r>
    </w:p>
    <w:p>
      <w:r>
        <w:t>The venue and page limit have not been specified. Use a venue-neutral manuscript structure and select a compact main-paper figure set; retain the full 20-figure collection as supporting material. The principal study concerns missing-modality segmentation. The small classification benchmark is separate supporting work and must not be merged into one headline performance claim.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</w:tcPr>
          <w:p>
            <w:pPr>
              <w:keepNext/>
              <w:keepLines/>
              <w:spacing w:after="80"/>
            </w:pPr>
            <w:r>
              <w:rPr>
                <w:b/>
                <w:sz w:val="17"/>
              </w:rPr>
              <w:t>Figure</w:t>
            </w:r>
          </w:p>
        </w:tc>
        <w:tc>
          <w:tcPr>
            <w:tcW w:type="dxa" w:w="3346"/>
          </w:tcPr>
          <w:p>
            <w:pPr>
              <w:keepNext/>
              <w:keepLines/>
              <w:spacing w:after="80"/>
            </w:pPr>
            <w:r>
              <w:rPr>
                <w:b/>
                <w:sz w:val="17"/>
              </w:rPr>
              <w:t>Evidence and purpose</w:t>
            </w:r>
          </w:p>
        </w:tc>
        <w:tc>
          <w:tcPr>
            <w:tcW w:type="dxa" w:w="3346"/>
          </w:tcPr>
          <w:p>
            <w:pPr>
              <w:keepNext/>
              <w:keepLines/>
              <w:spacing w:after="80"/>
            </w:pPr>
            <w:r>
              <w:rPr>
                <w:b/>
                <w:sz w:val="17"/>
              </w:rPr>
              <w:t>Initial writing placement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01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Dataset counts before and after similarity grouping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Data audit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02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Executed fold-0 roles and reserved cohort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Evaluation design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03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seven classification variants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Classification supplement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04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Per-seed OOF ROC and precision–recall curves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Classification supplement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05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Three confusion matrices at the frozen threshold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Classification supplement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06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six paired classifier contrasts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Classification supplement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07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nine main segmentation variants and three endpoints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Main ablation study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08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Adjusted intervals for all main QMMF-control contrasts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Main ablation study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09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27 inner-selection learning curves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Optimization supplement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10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Capacity, score and recorded compute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Resource supplement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11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four reserved model families and three endpoints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Primary results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12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declared reserved paired contrasts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Primary comparisons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13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WT, TC and ET performance with the empty-reference rule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Regional results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14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15 modality combinations for all four models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Robustness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15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Modality Shapley values under the declared empty utility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Exploratory attribution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16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All 51 paired group scores and their differences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Error distribution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17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Both ET-empty cases, all models and seeds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Failure analysis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18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Complete cohort and frozen historical sensitivity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Sensitivity / limitations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19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Unmodified prespecified real prediction montage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Qualitative results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20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Measured lossless-cache throughput</w:t>
            </w:r>
          </w:p>
        </w:tc>
        <w:tc>
          <w:tcPr>
            <w:tcW w:type="dxa" w:w="3346"/>
          </w:tcPr>
          <w:p>
            <w:pPr>
              <w:keepNext w:val="0"/>
              <w:keepLines/>
              <w:spacing w:after="80"/>
            </w:pPr>
            <w:r>
              <w:rPr>
                <w:sz w:val="17"/>
              </w:rPr>
              <w:t>Implementation supplement</w:t>
            </w:r>
          </w:p>
        </w:tc>
      </w:tr>
    </w:tbl>
    <w:p/>
    <w:p>
      <w:r>
        <w:t>Each figure receives PNG, PDF and SVG files, a plotted-data CSV, a full caption, a limited interpretation and source-file hashes. Figure 19 preserves the original PNG/PDF bytes and attribution; its SVG is a wrapper around the original raster. Other chart PDF/SVG exports preserve vector elements. The executed Kaggle gallery is retained separately from the portable notebook source.</w:t>
      </w:r>
    </w:p>
    <w:p>
      <w:r>
        <w:t>The paper guide and draft must retain the observed quality-module failure, unknown patient identity, historical validation exposure, simulated missingness after complete-modality preprocessing, fixed training seeds, within-endpoint multiplicity adjustment, auxiliary-objective differences between model families, and lack of independent external validation. Figure count is not a measure of scientific novelty or conference acceptance.</w:t>
      </w:r>
    </w:p>
    <w:p>
      <w:r>
        <w:t>Validation covers source hashes, plotted values, complete seeds/models/groups, image and PDF rendering, readable labels, real Kaggle execution, notebook output images, relative GitHub links and downloaded release checksums. Publication uses a new versioned GitHub release and preserves v1.0.0.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2026-09-09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MRI RESEARCH  |  EXPERIMENT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53E5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53E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53E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