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Related work and conference positioning</w:t>
      </w:r>
    </w:p>
    <w:p>
      <w:r>
        <w:t>Checked 2026-09-09 using primary papers, proceedings and author repositories. This is a focused comparison for the supplied project, not an exhaustive novelty search. Published scores from different cohorts are not inserted into this project's result tables.</w:t>
      </w:r>
    </w:p>
    <w:p>
      <w:pPr>
        <w:pStyle w:val="Heading2"/>
      </w:pPr>
      <w:r>
        <w:t>Relevant methods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</w:tcPr>
          <w:p>
            <w:pPr>
              <w:keepNext/>
              <w:keepLines/>
              <w:spacing w:after="8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3346"/>
          </w:tcPr>
          <w:p>
            <w:pPr>
              <w:keepNext/>
              <w:keepLines/>
              <w:spacing w:after="80"/>
            </w:pPr>
            <w:r>
              <w:rPr>
                <w:b/>
                <w:sz w:val="17"/>
              </w:rPr>
              <w:t>Established idea</w:t>
            </w:r>
          </w:p>
        </w:tc>
        <w:tc>
          <w:tcPr>
            <w:tcW w:type="dxa" w:w="3346"/>
          </w:tcPr>
          <w:p>
            <w:pPr>
              <w:keepNext/>
              <w:keepLines/>
              <w:spacing w:after="80"/>
            </w:pPr>
            <w:r>
              <w:rPr>
                <w:b/>
                <w:sz w:val="17"/>
              </w:rPr>
              <w:t>Implication for this study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1">
              <w:r>
                <w:rPr>
                  <w:color w:val="176B87"/>
                </w:rPr>
                <w:t>HeMIS, 2016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Aggregate modality-specific latent representations to handle missing inputs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Moment-based fusion is established prior work. The local comparator is explicitly a HeMIS-style 2.5D implementation.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2">
              <w:r>
                <w:rPr>
                  <w:color w:val="176B87"/>
                </w:rPr>
                <w:t>ShaSpec, CVPR 2023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Separate shared and modality-specific representations for incomplete multimodal learning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Shared encoding and modality-aware representations alone are insufficient novelty claims. ShaSpec has not been reproduced in the current results.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3">
              <w:r>
                <w:rPr>
                  <w:color w:val="176B87"/>
                </w:rPr>
                <w:t>M3AE, AAAI 2023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Mask modalities and patches for pretraining, then use self-distillation during supervised fine-tuning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Pretraining data, additional optimization and missing-input training recipes must be accounted for in a fair comparator.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4">
              <w:r>
                <w:rPr>
                  <w:color w:val="176B87"/>
                </w:rPr>
                <w:t>M3FeCon, MICCAI 2024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Reconstruct missing modality features using a masking formulation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Feature completion is a relevant alternative to direct available-modality fusion. A comparison needs compatible training missingness.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5">
              <w:r>
                <w:rPr>
                  <w:color w:val="176B87"/>
                </w:rPr>
                <w:t>DC-Seg, MICCAI 2025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Disentangle anatomical and modality-specific representations using contrastive objectives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Robustness and representation-learning claims need comparison against later methods, not only basic U-Nets.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6">
              <w:r>
                <w:rPr>
                  <w:color w:val="176B87"/>
                </w:rPr>
                <w:t>IM-Fuse, MICCAI 2025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Study Mamba fusion and re-evaluate missing-modality methods on a larger BraTS2023 cohort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Rankings can depend on dataset scale. Its author benchmark is a useful reference for a broader reproduction effort.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7">
              <w:r>
                <w:rPr>
                  <w:color w:val="176B87"/>
                </w:rPr>
                <w:t>SimMLM, ICCV 2025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Dynamic modality-expert weighting and a ranking objective comparing more versus fewer inputs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Dynamic gating and reliability under missing inputs are already studied. The proposed quality-conditioned feature moments require a narrower, empirically supported contribution.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hyperlink r:id="rId18">
              <w:r>
                <w:rPr>
                  <w:color w:val="176B87"/>
                </w:rPr>
                <w:t>D3Seg, 2026 preprint</w:t>
              </w:r>
            </w:hyperlink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Combine modality-dependency graphs, latent diffusion imputation and decision refinement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Recent alternatives continue to expand; a claim of state of the art requires an updated, directly comparable benchmark. This source is a preprint, not assumed conference acceptance.</w:t>
            </w:r>
          </w:p>
        </w:tc>
      </w:tr>
    </w:tbl>
    <w:p/>
    <w:p>
      <w:r>
        <w:t xml:space="preserve">The IM-Fuse paper links an author repository that currently redirects to </w:t>
      </w:r>
      <w:hyperlink r:id="rId19">
        <w:r>
          <w:rPr>
            <w:color w:val="176B87"/>
          </w:rPr>
          <w:t>MiMoSe</w:t>
        </w:r>
      </w:hyperlink>
      <w:r>
        <w:t xml:space="preserve">. SimMLM provides its </w:t>
      </w:r>
      <w:hyperlink r:id="rId20">
        <w:r>
          <w:rPr>
            <w:color w:val="176B87"/>
          </w:rPr>
          <w:t>official implementation</w:t>
        </w:r>
      </w:hyperlink>
      <w:r>
        <w:t>. Repository availability does not establish a completed reproduction here; no score from these repositories is claimed as this project's experiment.</w:t>
      </w:r>
    </w:p>
    <w:p>
      <w:pPr>
        <w:pStyle w:val="Heading2"/>
      </w:pPr>
      <w:r>
        <w:t>Defensible questions for the supplied project</w:t>
      </w:r>
    </w:p>
    <w:p>
      <w:r>
        <w:t>The strongest immediate question is whether quality-conditioned moments provide a reproducible benefit after correcting modality semantics, inference normalization, teacher inputs and split contamination. The no-quality, shuffled-quality, no-variance, no-max and matched-parameter controls directly address that question. A result that does not support the quality contribution must lead to a narrower claim.</w:t>
      </w:r>
    </w:p>
    <w:p>
      <w:r>
        <w:t>The local HeMIS-style and U-Net comparators have no auxiliary deep-supervision heads, while QMMF and its same-family controls use two. Their cross-family contrasts therefore evaluate architecture and effective auxiliary objective together. The matched-moment, no-quality and shuffled-quality controls preserve QMMF's auxiliary heads and provide the closer tests of the fusion and descriptor claims; a cross-family improvement alone cannot isolate either contribution.</w:t>
      </w:r>
    </w:p>
    <w:p>
      <w:r>
        <w:t xml:space="preserve">An additional question is whether learned gating weights agree with measured changes in segmentation utility across the 15 modality subsets. SimMLM also discusses gate-weight interpretation; therefore gating visualizations alone are not a new contribution. Exact subset-based Shapley values can support an exploratory comparison in this project, with the declared empty-set utility and explicit uncertainty. They do not establish causal clinical importance. </w:t>
      </w:r>
      <w:hyperlink r:id="rId21">
        <w:r>
          <w:rPr>
            <w:color w:val="176B87"/>
          </w:rPr>
          <w:t>SimMLM full text and appendix</w:t>
        </w:r>
      </w:hyperlink>
      <w:r>
        <w:t>.</w:t>
      </w:r>
    </w:p>
    <w:p>
      <w:r>
        <w:t>The rescaled-copy discovery makes dataset handling a prerequisite. More training on the original case-ID split would not resolve that flaw. The repaired benchmark must report both case and conservative group counts, preserve the failed split's provenance, and prevent related volumes from crossing roles.</w:t>
      </w:r>
    </w:p>
    <w:p>
      <w:pPr>
        <w:pStyle w:val="Heading2"/>
      </w:pPr>
      <w:r>
        <w:t>Requirements for a broader comparator</w:t>
      </w:r>
    </w:p>
    <w:p>
      <w:r>
        <w:t>A modern comparator should use an identified author implementation and revision, documented data access and code terms, verified channel/label mapping, the same protected groups, and a declared optimization and selection budget. Record external pretraining separately. A shallow-context wrapper must not be labeled a fully trained volumetric nnU-Net or another published 3D model.</w:t>
      </w:r>
    </w:p>
    <w:p>
      <w:r>
        <w:t>The completed Kaggle work has not established superiority over the methods above, independent external-cohort generalization, architectural novelty or conference acceptance. It provides all 27 planned development fits and 12 reserved checkpoint evaluations. Quality conditioning does not improve the main study; the no-quality control has better reserved full, mean-subset and worst-subset scores under the declared adjusted group comparisons. The small historical sensitivity leaves the full comparison uncertain and retains a no-quality worst-subset advantage. A defensible report must retain these negative findings. Further claims require an author-led assessment of the closest methods and evidence beyond this internal benchmark.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2026-09-09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MRI RESEARCH  |  EXPERIMENT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3E5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53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53E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1607.05194" TargetMode="External"/><Relationship Id="rId12" Type="http://schemas.openxmlformats.org/officeDocument/2006/relationships/hyperlink" Target="https://openaccess.thecvf.com/content/CVPR2023/papers/Wang_Multi-Modal_Learning_With_Missing_Modality_via_Shared-Specific_Feature_Modelling_CVPR_2023_paper.pdf" TargetMode="External"/><Relationship Id="rId13" Type="http://schemas.openxmlformats.org/officeDocument/2006/relationships/hyperlink" Target="https://ojs.aaai.org/index.php/AAAI/article/view/25253" TargetMode="External"/><Relationship Id="rId14" Type="http://schemas.openxmlformats.org/officeDocument/2006/relationships/hyperlink" Target="https://papers.miccai.org/miccai-2024/520-Paper0067.html" TargetMode="External"/><Relationship Id="rId15" Type="http://schemas.openxmlformats.org/officeDocument/2006/relationships/hyperlink" Target="https://papers.miccai.org/miccai-2025/0213-Paper0653.html" TargetMode="External"/><Relationship Id="rId16" Type="http://schemas.openxmlformats.org/officeDocument/2006/relationships/hyperlink" Target="https://papers.miccai.org/miccai-2025/0437-Paper0747.html" TargetMode="External"/><Relationship Id="rId17" Type="http://schemas.openxmlformats.org/officeDocument/2006/relationships/hyperlink" Target="https://openaccess.thecvf.com/content/ICCV2025/html/Li_SimMLM_A_Simple_Framework_for_Multi-modal_Learning_with_Missing_Modality_ICCV_2025_paper.html" TargetMode="External"/><Relationship Id="rId18" Type="http://schemas.openxmlformats.org/officeDocument/2006/relationships/hyperlink" Target="https://arxiv.org/abs/2605.22249" TargetMode="External"/><Relationship Id="rId19" Type="http://schemas.openxmlformats.org/officeDocument/2006/relationships/hyperlink" Target="https://github.com/AImageLab-zip/MiMoSe" TargetMode="External"/><Relationship Id="rId20" Type="http://schemas.openxmlformats.org/officeDocument/2006/relationships/hyperlink" Target="https://github.com/LezJ/SimMLM" TargetMode="External"/><Relationship Id="rId21" Type="http://schemas.openxmlformats.org/officeDocument/2006/relationships/hyperlink" Target="https://arxiv.org/html/2507.19264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