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jc w:val="left"/>
      </w:pPr>
      <w:r>
        <w:rPr>
          <w:rFonts w:ascii="Arial" w:hAnsi="Arial"/>
        </w:rPr>
        <w:t>Novelty Audit of Structural Decomposition of Money Metric Well Being Inequality</w:t>
      </w:r>
    </w:p>
    <w:p>
      <w:pPr>
        <w:spacing w:before="280" w:after="360"/>
      </w:pPr>
      <w:r>
        <w:rPr>
          <w:rFonts w:ascii="Arial" w:hAnsi="Arial"/>
          <w:color w:val="444444"/>
          <w:sz w:val="26"/>
        </w:rPr>
        <w:t>Economics job market paper literature ruling and positioning memo</w:t>
      </w:r>
    </w:p>
    <w:p>
      <w:pPr>
        <w:spacing w:before="800"/>
      </w:pPr>
      <w:r>
        <w:rPr>
          <w:rFonts w:ascii="Arial" w:hAnsi="Arial"/>
          <w:b/>
          <w:color w:val="17365D"/>
          <w:sz w:val="24"/>
        </w:rPr>
        <w:t>Bottom line</w:t>
      </w:r>
    </w:p>
    <w:p>
      <w:r>
        <w:rPr>
          <w:rFonts w:ascii="Arial" w:hAnsi="Arial"/>
          <w:b/>
          <w:sz w:val="24"/>
        </w:rPr>
        <w:t xml:space="preserve">The exact integration is plausibly novel, but none of its broad ingredients is. </w:t>
      </w:r>
      <w:r>
        <w:rPr>
          <w:rFonts w:ascii="Arial" w:hAnsi="Arial"/>
          <w:sz w:val="23"/>
        </w:rPr>
        <w:t>The defensible claim is the first known use of a RURO structural labour supply model to allocate inequality in an opportunity-sensitive money-metric welfare distribution across preference, access, earning-opportunity, and household-resource operators through all-coalition welfare recomputation and a grouped Shapley-Owen-Shorrocks allocation. The paper should not claim a new Shapley method, the first structural labour-supply inequality decomposition, the first decomposition of money-metric welfare inequality, or the first welfare analysis that distinguishes preferences from opportunities.</w:t>
      </w:r>
      <w:r>
        <w:rPr>
          <w:rFonts w:ascii="Arial" w:hAnsi="Arial"/>
          <w:sz w:val="15"/>
          <w:vertAlign w:val="superscript"/>
        </w:rPr>
        <w:t>13</w:t>
      </w:r>
    </w:p>
    <w:p>
      <w:pPr>
        <w:spacing w:before="680"/>
      </w:pPr>
      <w:r>
        <w:rPr>
          <w:rFonts w:ascii="Arial" w:hAnsi="Arial"/>
          <w:i/>
          <w:color w:val="666666"/>
          <w:sz w:val="19"/>
        </w:rPr>
        <w:t>Literature searched through 9 September 2026</w:t>
      </w:r>
    </w:p>
    <w:p>
      <w:r>
        <w:rPr>
          <w:rFonts w:ascii="Arial" w:hAnsi="Arial"/>
        </w:rPr>
        <w:br w:type="page"/>
      </w:r>
    </w:p>
    <w:p>
      <w:pPr>
        <w:pStyle w:val="Heading1"/>
      </w:pPr>
      <w:r>
        <w:rPr>
          <w:rFonts w:ascii="Arial" w:hAnsi="Arial"/>
        </w:rPr>
        <w:t>Executive rulings</w:t>
      </w:r>
    </w:p>
    <w:p>
      <w:r>
        <w:rPr>
          <w:rFonts w:ascii="Arial" w:hAnsi="Arial"/>
          <w:b/>
        </w:rPr>
        <w:t xml:space="preserve">The novelty question is best answered as a conjunction test. </w:t>
      </w:r>
      <w:r>
        <w:rPr>
          <w:rFonts w:ascii="Arial" w:hAnsi="Arial"/>
        </w:rPr>
        <w:t>Several literatures supply close pieces of the design. The relevant question is whether a prior paper contains the same outcome, welfare metric, structural model, factor system, coalition algorithm, and complete recomputation rule in one empirical exercise.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1440"/>
            <w:shd w:fill="17365D"/>
            <w:tcMar>
              <w:top w:w="90" w:type="dxa"/>
              <w:start w:w="110" w:type="dxa"/>
              <w:bottom w:w="90" w:type="dxa"/>
              <w:end w:w="110" w:type="dxa"/>
            </w:tcMar>
            <w:vAlign w:val="center"/>
          </w:tcPr>
          <w:p>
            <w:r>
              <w:rPr>
                <w:rFonts w:ascii="Arial" w:hAnsi="Arial"/>
                <w:b/>
                <w:color w:val="FFFFFF"/>
                <w:sz w:val="19"/>
              </w:rPr>
              <w:t>Ruling</w:t>
            </w:r>
          </w:p>
        </w:tc>
        <w:tc>
          <w:tcPr>
            <w:tcW w:type="dxa" w:w="8280"/>
            <w:shd w:fill="17365D"/>
            <w:tcMar>
              <w:top w:w="90" w:type="dxa"/>
              <w:start w:w="110" w:type="dxa"/>
              <w:bottom w:w="90" w:type="dxa"/>
              <w:end w:w="110" w:type="dxa"/>
            </w:tcMar>
            <w:vAlign w:val="center"/>
          </w:tcPr>
          <w:p>
            <w:r>
              <w:rPr>
                <w:rFonts w:ascii="Arial" w:hAnsi="Arial"/>
                <w:b/>
                <w:color w:val="FFFFFF"/>
                <w:sz w:val="19"/>
              </w:rPr>
              <w:t>Finding</w:t>
            </w:r>
          </w:p>
        </w:tc>
      </w:tr>
      <w:tr>
        <w:trPr>
          <w:cantSplit/>
        </w:trPr>
        <w:tc>
          <w:tcPr>
            <w:tcW w:type="dxa" w:w="1440"/>
            <w:vAlign w:val="center"/>
            <w:tcMar>
              <w:top w:w="90" w:type="dxa"/>
              <w:start w:w="110" w:type="dxa"/>
              <w:bottom w:w="90" w:type="dxa"/>
              <w:end w:w="110" w:type="dxa"/>
            </w:tcMar>
          </w:tcPr>
          <w:p>
            <w:pPr>
              <w:spacing w:after="0" w:line="252" w:lineRule="auto"/>
            </w:pPr>
            <w:r>
              <w:rPr>
                <w:rFonts w:ascii="Arial" w:hAnsi="Arial"/>
                <w:b/>
                <w:sz w:val="19"/>
              </w:rPr>
              <w:t>A</w:t>
            </w:r>
          </w:p>
        </w:tc>
        <w:tc>
          <w:tcPr>
            <w:tcW w:type="dxa" w:w="8280"/>
            <w:vAlign w:val="center"/>
            <w:tcMar>
              <w:top w:w="90" w:type="dxa"/>
              <w:start w:w="110" w:type="dxa"/>
              <w:bottom w:w="90" w:type="dxa"/>
              <w:end w:w="110" w:type="dxa"/>
            </w:tcMar>
          </w:tcPr>
          <w:p>
            <w:pPr>
              <w:spacing w:after="0" w:line="252" w:lineRule="auto"/>
            </w:pPr>
            <w:r>
              <w:rPr>
                <w:rFonts w:ascii="Arial" w:hAnsi="Arial"/>
                <w:b w:val="0"/>
                <w:sz w:val="19"/>
              </w:rPr>
              <w:t>Inherited. The Shapley allocation, Shorrocks extension to distributional statistics, Owen grouping, and the main zero-versus-equalized and nesting conventions are established methods. The paper can adapt and implement them, but should not present the mathematical allocation rule as new.</w:t>
            </w:r>
          </w:p>
        </w:tc>
      </w:tr>
      <w:tr>
        <w:trPr>
          <w:cantSplit/>
        </w:trPr>
        <w:tc>
          <w:tcPr>
            <w:tcW w:type="dxa" w:w="1440"/>
            <w:shd w:fill="EAF1F8"/>
            <w:vAlign w:val="center"/>
            <w:tcMar>
              <w:top w:w="90" w:type="dxa"/>
              <w:start w:w="110" w:type="dxa"/>
              <w:bottom w:w="90" w:type="dxa"/>
              <w:end w:w="110" w:type="dxa"/>
            </w:tcMar>
          </w:tcPr>
          <w:p>
            <w:pPr>
              <w:spacing w:after="0" w:line="252" w:lineRule="auto"/>
            </w:pPr>
            <w:r>
              <w:rPr>
                <w:rFonts w:ascii="Arial" w:hAnsi="Arial"/>
                <w:b/>
                <w:sz w:val="19"/>
              </w:rPr>
              <w:t>B</w:t>
            </w:r>
          </w:p>
        </w:tc>
        <w:tc>
          <w:tcPr>
            <w:tcW w:type="dxa" w:w="8280"/>
            <w:shd w:fill="EAF1F8"/>
            <w:vAlign w:val="center"/>
            <w:tcMar>
              <w:top w:w="90" w:type="dxa"/>
              <w:start w:w="110" w:type="dxa"/>
              <w:bottom w:w="90" w:type="dxa"/>
              <w:end w:w="110" w:type="dxa"/>
            </w:tcMar>
          </w:tcPr>
          <w:p>
            <w:pPr>
              <w:spacing w:after="0" w:line="252" w:lineRule="auto"/>
            </w:pPr>
            <w:r>
              <w:rPr>
                <w:rFonts w:ascii="Arial" w:hAnsi="Arial"/>
                <w:b w:val="0"/>
                <w:sz w:val="19"/>
              </w:rPr>
              <w:t>Qualified novelty. The generic move from counterfactual coalitions to a characteristic function is inherited. The economically coherent P, A, B, and D operators inside the estimated RURO model appear to be a new game specification if the paper formally defines how each operator changes feasible jobs, wages, preferences, resources and needs while keeping every coalition admissible.</w:t>
            </w:r>
          </w:p>
        </w:tc>
      </w:tr>
      <w:tr>
        <w:trPr>
          <w:cantSplit/>
        </w:trPr>
        <w:tc>
          <w:tcPr>
            <w:tcW w:type="dxa" w:w="1440"/>
            <w:vAlign w:val="center"/>
            <w:tcMar>
              <w:top w:w="90" w:type="dxa"/>
              <w:start w:w="110" w:type="dxa"/>
              <w:bottom w:w="90" w:type="dxa"/>
              <w:end w:w="110" w:type="dxa"/>
            </w:tcMar>
          </w:tcPr>
          <w:p>
            <w:pPr>
              <w:spacing w:after="0" w:line="252" w:lineRule="auto"/>
            </w:pPr>
            <w:r>
              <w:rPr>
                <w:rFonts w:ascii="Arial" w:hAnsi="Arial"/>
                <w:b/>
                <w:sz w:val="19"/>
              </w:rPr>
              <w:t>C</w:t>
            </w:r>
          </w:p>
        </w:tc>
        <w:tc>
          <w:tcPr>
            <w:tcW w:type="dxa" w:w="8280"/>
            <w:vAlign w:val="center"/>
            <w:tcMar>
              <w:top w:w="90" w:type="dxa"/>
              <w:start w:w="110" w:type="dxa"/>
              <w:bottom w:w="90" w:type="dxa"/>
              <w:end w:w="110" w:type="dxa"/>
            </w:tcMar>
          </w:tcPr>
          <w:p>
            <w:pPr>
              <w:spacing w:after="0" w:line="252" w:lineRule="auto"/>
            </w:pPr>
            <w:r>
              <w:rPr>
                <w:rFonts w:ascii="Arial" w:hAnsi="Arial"/>
                <w:b w:val="0"/>
                <w:sz w:val="19"/>
              </w:rPr>
              <w:t>Plausibly novel integration. No located paper combines household-specific RURO preferences and latent job opportunities, an opportunity-sensitive money-metric welfare distribution, separate P/A/B/D equalization, full welfare and inequality recomputation for every coalition, and grouped Shapley-Owen-Shorrocks attribution.</w:t>
            </w:r>
          </w:p>
        </w:tc>
      </w:tr>
      <w:tr>
        <w:trPr>
          <w:cantSplit/>
        </w:trPr>
        <w:tc>
          <w:tcPr>
            <w:tcW w:type="dxa" w:w="1440"/>
            <w:shd w:fill="EAF1F8"/>
            <w:vAlign w:val="center"/>
            <w:tcMar>
              <w:top w:w="90" w:type="dxa"/>
              <w:start w:w="110" w:type="dxa"/>
              <w:bottom w:w="90" w:type="dxa"/>
              <w:end w:w="110" w:type="dxa"/>
            </w:tcMar>
          </w:tcPr>
          <w:p>
            <w:pPr>
              <w:spacing w:after="0" w:line="252" w:lineRule="auto"/>
            </w:pPr>
            <w:r>
              <w:rPr>
                <w:rFonts w:ascii="Arial" w:hAnsi="Arial"/>
                <w:b/>
                <w:sz w:val="19"/>
              </w:rPr>
              <w:t>D</w:t>
            </w:r>
          </w:p>
        </w:tc>
        <w:tc>
          <w:tcPr>
            <w:tcW w:type="dxa" w:w="8280"/>
            <w:shd w:fill="EAF1F8"/>
            <w:vAlign w:val="center"/>
            <w:tcMar>
              <w:top w:w="90" w:type="dxa"/>
              <w:start w:w="110" w:type="dxa"/>
              <w:bottom w:w="90" w:type="dxa"/>
              <w:end w:w="110" w:type="dxa"/>
            </w:tcMar>
          </w:tcPr>
          <w:p>
            <w:pPr>
              <w:spacing w:after="0" w:line="252" w:lineRule="auto"/>
            </w:pPr>
            <w:r>
              <w:rPr>
                <w:rFonts w:ascii="Arial" w:hAnsi="Arial"/>
                <w:b w:val="0"/>
                <w:sz w:val="19"/>
              </w:rPr>
              <w:t>Use a narrow first-known claim. Name the model, welfare object, four operator classes, all-coalition recomputation, and grouped allocation in the same sentence. A conservative introduce-and-implement formulation is even safer.</w:t>
            </w:r>
          </w:p>
        </w:tc>
      </w:tr>
      <w:tr>
        <w:trPr>
          <w:cantSplit/>
        </w:trPr>
        <w:tc>
          <w:tcPr>
            <w:tcW w:type="dxa" w:w="1440"/>
            <w:vAlign w:val="center"/>
            <w:tcMar>
              <w:top w:w="90" w:type="dxa"/>
              <w:start w:w="110" w:type="dxa"/>
              <w:bottom w:w="90" w:type="dxa"/>
              <w:end w:w="110" w:type="dxa"/>
            </w:tcMar>
          </w:tcPr>
          <w:p>
            <w:pPr>
              <w:spacing w:after="0" w:line="252" w:lineRule="auto"/>
            </w:pPr>
            <w:r>
              <w:rPr>
                <w:rFonts w:ascii="Arial" w:hAnsi="Arial"/>
                <w:b/>
                <w:sz w:val="19"/>
              </w:rPr>
              <w:t>E</w:t>
            </w:r>
          </w:p>
        </w:tc>
        <w:tc>
          <w:tcPr>
            <w:tcW w:type="dxa" w:w="8280"/>
            <w:vAlign w:val="center"/>
            <w:tcMar>
              <w:top w:w="90" w:type="dxa"/>
              <w:start w:w="110" w:type="dxa"/>
              <w:bottom w:w="90" w:type="dxa"/>
              <w:end w:w="110" w:type="dxa"/>
            </w:tcMar>
          </w:tcPr>
          <w:p>
            <w:pPr>
              <w:spacing w:after="0" w:line="252" w:lineRule="auto"/>
            </w:pPr>
            <w:r>
              <w:rPr>
                <w:rFonts w:ascii="Arial" w:hAnsi="Arial"/>
                <w:b w:val="0"/>
                <w:sz w:val="19"/>
              </w:rPr>
              <w:t>Avoid broad first claims, causal language for observational shares, and claims of a unique or baseline-free decomposition. State that the shares are model- and operator-dependent allocations of interactions, conditional on identification, reference welfare choices, and the counterfactual equalization rules.</w:t>
            </w:r>
          </w:p>
        </w:tc>
      </w:tr>
    </w:tbl>
    <w:p>
      <w:pPr>
        <w:spacing w:after="0"/>
      </w:pPr>
    </w:p>
    <w:p>
      <w:r>
        <w:rPr>
          <w:rFonts w:ascii="Arial" w:hAnsi="Arial"/>
          <w:b/>
        </w:rPr>
        <w:t xml:space="preserve">Confidence in ruling C is moderate rather than absolute. </w:t>
      </w:r>
      <w:r>
        <w:rPr>
          <w:rFonts w:ascii="Arial" w:hAnsi="Arial"/>
        </w:rPr>
        <w:t>The combination survived targeted searches across Shapley inequality decomposition, behavioural microsimulation, random utility labour supply, RURO job-choice welfare, equivalent-income analysis, fairness and equality-of-opportunity measurement. Novelty cannot be proved by search alone, and the claim should remain qualified by to our knowledge.</w:t>
      </w:r>
    </w:p>
    <w:p>
      <w:pPr>
        <w:pStyle w:val="Heading1"/>
      </w:pPr>
      <w:r>
        <w:rPr>
          <w:rFonts w:ascii="Arial" w:hAnsi="Arial"/>
        </w:rPr>
        <w:t>The exact novelty object</w:t>
      </w:r>
    </w:p>
    <w:p>
      <w:r>
        <w:rPr>
          <w:rFonts w:ascii="Arial" w:hAnsi="Arial"/>
        </w:rPr>
        <w:t>The proposed contribution has six linked elements. Removing any one of them moves the claim into a literature with direct precedents.</w:t>
      </w:r>
    </w:p>
    <w:p>
      <w:pPr>
        <w:pStyle w:val="ListBullet"/>
      </w:pPr>
      <w:r>
        <w:rPr>
          <w:rFonts w:ascii="Arial" w:hAnsi="Arial"/>
        </w:rPr>
        <w:t>Outcome: an inequality statistic computed over a household distribution of opportunity-sensitive money-metric well-being, rather than disposable income, earnings, labour supply, compensating variation from one reform, or aggregate social welfare.</w:t>
      </w:r>
    </w:p>
    <w:p>
      <w:pPr>
        <w:pStyle w:val="ListBullet"/>
      </w:pPr>
      <w:r>
        <w:rPr>
          <w:rFonts w:ascii="Arial" w:hAnsi="Arial"/>
        </w:rPr>
        <w:t>Structural information: estimated heterogeneous preferences and household-specific latent job opportunities in a random-utility random-opportunity labour-supply model.</w:t>
      </w:r>
    </w:p>
    <w:p>
      <w:pPr>
        <w:pStyle w:val="ListBullet"/>
      </w:pPr>
      <w:r>
        <w:rPr>
          <w:rFonts w:ascii="Arial" w:hAnsi="Arial"/>
        </w:rPr>
        <w:t>Factors: P for preferences; A for access to employment, hours, and occupations; B for earning or wage opportunities; and D for household resources and needs.</w:t>
      </w:r>
    </w:p>
    <w:p>
      <w:pPr>
        <w:pStyle w:val="ListBullet"/>
      </w:pPr>
      <w:r>
        <w:rPr>
          <w:rFonts w:ascii="Arial" w:hAnsi="Arial"/>
        </w:rPr>
        <w:t>Operators: each factor is equalized through a model-consistent structural counterfactual, not replaced by a fitted statistical component or a period-specific coefficient vector without an economic feasibility rule.</w:t>
      </w:r>
    </w:p>
    <w:p>
      <w:pPr>
        <w:pStyle w:val="ListBullet"/>
      </w:pPr>
      <w:r>
        <w:rPr>
          <w:rFonts w:ascii="Arial" w:hAnsi="Arial"/>
        </w:rPr>
        <w:t>Recomputation: choices, household welfare, the full welfare distribution, and the inequality statistic are recomputed for every required coalition.</w:t>
      </w:r>
    </w:p>
    <w:p>
      <w:pPr>
        <w:pStyle w:val="ListBullet"/>
      </w:pPr>
      <w:r>
        <w:rPr>
          <w:rFonts w:ascii="Arial" w:hAnsi="Arial"/>
        </w:rPr>
        <w:t>Allocation: interactions across factor groups and lower-level components are assigned by a grouped Shapley-Owen-Shorrocks rule.</w:t>
      </w:r>
    </w:p>
    <w:p>
      <w:r>
        <w:rPr>
          <w:rFonts w:ascii="Arial" w:hAnsi="Arial"/>
          <w:b/>
        </w:rPr>
        <w:t xml:space="preserve">The novelty claim should attach to this full conjunction. </w:t>
      </w:r>
      <w:r>
        <w:rPr>
          <w:rFonts w:ascii="Arial" w:hAnsi="Arial"/>
        </w:rPr>
        <w:t>A claim attached only to the final allocation formula is not defensible because Shapley, Owen, Shorrocks, Sastre-Trannoy, Chantreuil-Trannoy, and Audoly et al. already supply the relevant mathematical machinery.</w:t>
      </w:r>
      <w:r>
        <w:rPr>
          <w:rFonts w:ascii="Arial" w:hAnsi="Arial"/>
          <w:sz w:val="15"/>
          <w:vertAlign w:val="superscript"/>
        </w:rPr>
        <w:t>1</w:t>
      </w:r>
      <w:r>
        <w:rPr>
          <w:rFonts w:ascii="Arial" w:hAnsi="Arial"/>
          <w:sz w:val="15"/>
          <w:vertAlign w:val="superscript"/>
        </w:rPr>
        <w:t>2</w:t>
      </w:r>
      <w:r>
        <w:rPr>
          <w:rFonts w:ascii="Arial" w:hAnsi="Arial"/>
          <w:sz w:val="15"/>
          <w:vertAlign w:val="superscript"/>
        </w:rPr>
        <w:t>3</w:t>
      </w:r>
    </w:p>
    <w:p>
      <w:pPr>
        <w:pStyle w:val="Heading1"/>
      </w:pPr>
      <w:r>
        <w:rPr>
          <w:rFonts w:ascii="Arial" w:hAnsi="Arial"/>
        </w:rPr>
        <w:t>Ruling A Mathematical decomposition</w:t>
      </w:r>
    </w:p>
    <w:p>
      <w:r>
        <w:rPr>
          <w:rFonts w:ascii="Arial" w:hAnsi="Arial"/>
          <w:b/>
        </w:rPr>
        <w:t xml:space="preserve">Ruling A is yes: the mathematical allocation is inherited. </w:t>
      </w:r>
      <w:r>
        <w:rPr>
          <w:rFonts w:ascii="Arial" w:hAnsi="Arial"/>
        </w:rPr>
        <w:t>Shorrocks shows how to map a distributional statistic into a cooperative game and average marginal contributions over factor orderings. Owen supplies values for games with a priori unions, which permits grouping. Sastre and Trannoy analyze implementation choices such as zero-income versus equalized-income baselines and nested Shapley versus Owen. Chantreuil and Trannoy compare efficiency and marginality properties and identify a role for Owen's value in inequality decomposition.</w:t>
      </w:r>
    </w:p>
    <w:p>
      <w:r>
        <w:rPr>
          <w:rFonts w:ascii="Arial" w:hAnsi="Arial"/>
          <w:b/>
        </w:rPr>
        <w:t xml:space="preserve">Audoly, McGee, Ocampo, and Paz-Pardo make the implication for modern structural work explicit. </w:t>
      </w:r>
      <w:r>
        <w:rPr>
          <w:rFonts w:ascii="Arial" w:hAnsi="Arial"/>
        </w:rPr>
        <w:t>Their framework treats a nonlinear outcome as a function of inputs, evaluates all submodels or coalitions, and uses Shapley-Owen-Shorrocks contributions for inputs and groups. The paper at issue can cite this as the implementation template. Its methodological contribution is therefore not a new allocation axiom or a new closed-form Shapley formula.</w:t>
      </w:r>
    </w:p>
    <w:p>
      <w:pPr>
        <w:pStyle w:val="Heading2"/>
      </w:pPr>
      <w:r>
        <w:rPr>
          <w:rFonts w:ascii="Arial" w:hAnsi="Arial"/>
        </w:rPr>
        <w:t>What can still be methodological</w:t>
      </w:r>
    </w:p>
    <w:p>
      <w:r>
        <w:rPr>
          <w:rFonts w:ascii="Arial" w:hAnsi="Arial"/>
        </w:rPr>
        <w:t>A methodological contribution remains possible if the paper shows that the P/A/B/D counterfactuals form a coherent structural game. The useful formal content would include:</w:t>
      </w:r>
    </w:p>
    <w:p>
      <w:pPr>
        <w:pStyle w:val="ListBullet"/>
      </w:pPr>
      <w:r>
        <w:rPr>
          <w:rFonts w:ascii="Arial" w:hAnsi="Arial"/>
        </w:rPr>
        <w:t>a precise map from each coalition to the household choice set, budget set, preferences, wage schedule, resources and needs;</w:t>
      </w:r>
    </w:p>
    <w:p>
      <w:pPr>
        <w:pStyle w:val="ListBullet"/>
      </w:pPr>
      <w:r>
        <w:rPr>
          <w:rFonts w:ascii="Arial" w:hAnsi="Arial"/>
        </w:rPr>
        <w:t>proof or transparent computation showing that every coalition defines an admissible RURO problem;</w:t>
      </w:r>
    </w:p>
    <w:p>
      <w:pPr>
        <w:pStyle w:val="ListBullet"/>
      </w:pPr>
      <w:r>
        <w:rPr>
          <w:rFonts w:ascii="Arial" w:hAnsi="Arial"/>
        </w:rPr>
        <w:t>a clear normalization for equalization and a fixed reference for money-metric comparisons;</w:t>
      </w:r>
    </w:p>
    <w:p>
      <w:pPr>
        <w:pStyle w:val="ListBullet"/>
      </w:pPr>
      <w:r>
        <w:rPr>
          <w:rFonts w:ascii="Arial" w:hAnsi="Arial"/>
        </w:rPr>
        <w:t>rules for interactions within and across groups, including the exact Owen nesting convention;</w:t>
      </w:r>
    </w:p>
    <w:p>
      <w:pPr>
        <w:pStyle w:val="ListBullet"/>
      </w:pPr>
      <w:r>
        <w:rPr>
          <w:rFonts w:ascii="Arial" w:hAnsi="Arial"/>
        </w:rPr>
        <w:t>a computational identity showing that the reported shares add to the chosen inequality gap up to simulation error.</w:t>
      </w:r>
    </w:p>
    <w:p>
      <w:r>
        <w:rPr>
          <w:rFonts w:ascii="Arial" w:hAnsi="Arial"/>
          <w:b/>
        </w:rPr>
        <w:t xml:space="preserve">Recommended characterization: </w:t>
      </w:r>
      <w:r>
        <w:rPr>
          <w:rFonts w:ascii="Arial" w:hAnsi="Arial"/>
        </w:rPr>
        <w:t>an application-specific structural operator construction and implementation, not a new decomposition principle.</w:t>
      </w:r>
    </w:p>
    <w:p>
      <w:pPr>
        <w:pStyle w:val="Heading1"/>
      </w:pPr>
      <w:r>
        <w:rPr>
          <w:rFonts w:ascii="Arial" w:hAnsi="Arial"/>
        </w:rPr>
        <w:t>Ruling B Structural game and operators</w:t>
      </w:r>
    </w:p>
    <w:p>
      <w:r>
        <w:rPr>
          <w:rFonts w:ascii="Arial" w:hAnsi="Arial"/>
          <w:b/>
        </w:rPr>
        <w:t xml:space="preserve">Ruling B is partly yes. </w:t>
      </w:r>
      <w:r>
        <w:rPr>
          <w:rFonts w:ascii="Arial" w:hAnsi="Arial"/>
        </w:rPr>
        <w:t>The generic characteristic-function construction is not new: many Shapley decompositions define the value of a coalition as the statistic generated when those factors are active and the rest are set to a reference. Likewise, counterfactual microsimulation papers swap tax systems, wage structures, populations, preferences, or restrictions and recompute the outcome.</w:t>
      </w:r>
    </w:p>
    <w:p>
      <w:r>
        <w:rPr>
          <w:rFonts w:ascii="Arial" w:hAnsi="Arial"/>
          <w:b/>
        </w:rPr>
        <w:t xml:space="preserve">The specific P/A/B/D construction appears new enough to claim. </w:t>
      </w:r>
      <w:r>
        <w:rPr>
          <w:rFonts w:ascii="Arial" w:hAnsi="Arial"/>
        </w:rPr>
        <w:t>Its novelty comes from maintaining a common money-metric welfare object while separately equalizing tastes, job access, earnings opportunities, and household resources or needs in a model where those inputs jointly determine both choice and welfare. The distinction between A and B is especially important: prior work often bundles labour-demand restrictions with employment probabilities or treats potential wages as a conventional income-generation parameter.</w:t>
      </w:r>
    </w:p>
    <w:p>
      <w:r>
        <w:rPr>
          <w:rFonts w:ascii="Arial" w:hAnsi="Arial"/>
          <w:b/>
        </w:rPr>
        <w:t xml:space="preserve">The operator contribution will be credible only if the paper explains what equalization means. </w:t>
      </w:r>
      <w:r>
        <w:rPr>
          <w:rFonts w:ascii="Arial" w:hAnsi="Arial"/>
        </w:rPr>
        <w:t>Replacing parameters by their mean, replacing distributions by a common reference distribution, rank-preserving transport, and resampling from a pooled distribution create different games. The paper should describe how household heterogeneity, correlation across factors, and equilibrium or adding-up constraints are handled. Otherwise a referee can characterize P/A/B/D as labels on standard counterfactual swaps.</w:t>
      </w:r>
    </w:p>
    <w:p>
      <w:pPr>
        <w:pStyle w:val="Heading1"/>
      </w:pPr>
      <w:r>
        <w:rPr>
          <w:rFonts w:ascii="Arial" w:hAnsi="Arial"/>
        </w:rPr>
        <w:t>Ruling C Novelty of the full integration</w:t>
      </w:r>
    </w:p>
    <w:p>
      <w:r>
        <w:rPr>
          <w:rFonts w:ascii="Arial" w:hAnsi="Arial"/>
          <w:b/>
        </w:rPr>
        <w:t xml:space="preserve">Ruling C is plausibly yes. </w:t>
      </w:r>
      <w:r>
        <w:rPr>
          <w:rFonts w:ascii="Arial" w:hAnsi="Arial"/>
        </w:rPr>
        <w:t>The closest literature forms three bridges, but no located paper closes the triangle.</w:t>
      </w:r>
    </w:p>
    <w:p>
      <w:pPr>
        <w:pStyle w:val="Heading2"/>
      </w:pPr>
      <w:r>
        <w:rPr>
          <w:rFonts w:ascii="Arial" w:hAnsi="Arial"/>
        </w:rPr>
        <w:t>Bridge one Structural Shapley decompositions of income inequality</w:t>
      </w:r>
    </w:p>
    <w:p>
      <w:r>
        <w:rPr>
          <w:rFonts w:ascii="Arial" w:hAnsi="Arial"/>
          <w:b/>
        </w:rPr>
        <w:t xml:space="preserve">Mühlhan 2023 is the strongest challenge. </w:t>
      </w:r>
      <w:r>
        <w:rPr>
          <w:rFonts w:ascii="Arial" w:hAnsi="Arial"/>
        </w:rPr>
        <w:t>It estimates a discrete-choice labour-supply model augmented by a separate restriction equation for involuntary unemployment. It decomposes the 2004-2015 change in German disposable-income inequality into direct and indirect policy effects, direct and indirect wage effects, preferences, restrictions, population, and nominal growth. It evaluates all orderings, simulates 128 counterfactual scenarios, and reports the Shorrocks-Shapley average across 5,040 seven-factor decompositions. This is already a structural labour-supply Shapley inequality decomposition with separate preference and access-like channels.</w:t>
      </w:r>
      <w:r>
        <w:rPr>
          <w:rFonts w:ascii="Arial" w:hAnsi="Arial"/>
          <w:sz w:val="15"/>
          <w:vertAlign w:val="superscript"/>
        </w:rPr>
        <w:t>5</w:t>
      </w:r>
    </w:p>
    <w:p>
      <w:r>
        <w:rPr>
          <w:rFonts w:ascii="Arial" w:hAnsi="Arial"/>
          <w:b/>
        </w:rPr>
        <w:t xml:space="preserve">The remaining difference is substantive. </w:t>
      </w:r>
      <w:r>
        <w:rPr>
          <w:rFonts w:ascii="Arial" w:hAnsi="Arial"/>
        </w:rPr>
        <w:t>Mühlhan's outcome is pre-tax or disposable household income. The paper does not construct an opportunity-sensitive money-metric welfare level for each household and then recompute that welfare distribution under P/A/B/D equalization. Its restriction model is a binary involuntary-unemployment hurdle rather than a household-specific distribution of latent jobs over employment, hours, and occupation. Its factors describe changes between two dates rather than a within-distribution equalization exercise.</w:t>
      </w:r>
    </w:p>
    <w:p>
      <w:r>
        <w:rPr>
          <w:rFonts w:ascii="Arial" w:hAnsi="Arial"/>
          <w:b/>
        </w:rPr>
        <w:t xml:space="preserve">Bargain 2012 and Jessen 2019 establish the broader structural precedent. </w:t>
      </w:r>
      <w:r>
        <w:rPr>
          <w:rFonts w:ascii="Arial" w:hAnsi="Arial"/>
        </w:rPr>
        <w:t>They combine behavioural labour-supply microsimulation, counterfactual income distributions, inequality or poverty statistics, and Shapley-style averaging. Bargain isolates direct policy, induced labour-supply, and residual environmental changes. Jessen attributes German inequality changes to policy, wages, population, and induced behavioural responses. Their outcome remains disposable income, and neither constructs the four-part opportunity-sensitive welfare game.</w:t>
      </w:r>
    </w:p>
    <w:p>
      <w:pPr>
        <w:pStyle w:val="Heading2"/>
      </w:pPr>
      <w:r>
        <w:rPr>
          <w:rFonts w:ascii="Arial" w:hAnsi="Arial"/>
        </w:rPr>
        <w:t>Bridge two Decomposition of money metric welfare inequality</w:t>
      </w:r>
    </w:p>
    <w:p>
      <w:r>
        <w:rPr>
          <w:rFonts w:ascii="Arial" w:hAnsi="Arial"/>
          <w:b/>
        </w:rPr>
        <w:t xml:space="preserve">Creedy and Hérault 2011 blocks any broad claim to the first decomposition of money-metric welfare inequality. </w:t>
      </w:r>
      <w:r>
        <w:rPr>
          <w:rFonts w:ascii="Arial" w:hAnsi="Arial"/>
        </w:rPr>
        <w:t>Using a structural discrete-hours random-utility labour-supply model, they construct a distribution of money-metric utility, calculate an Atkinson index and social welfare, and decompose changes between Australian tax and population states. Their money-metric exercise fully calculates the relevant welfare distribution for four policy-population states and averages the two possible paths, which is the two-factor Shapley value.</w:t>
      </w:r>
      <w:r>
        <w:rPr>
          <w:rFonts w:ascii="Arial" w:hAnsi="Arial"/>
          <w:sz w:val="15"/>
          <w:vertAlign w:val="superscript"/>
        </w:rPr>
        <w:t>4</w:t>
      </w:r>
    </w:p>
    <w:p>
      <w:r>
        <w:rPr>
          <w:rFonts w:ascii="Arial" w:hAnsi="Arial"/>
          <w:b/>
        </w:rPr>
        <w:t xml:space="preserve">The difference is again decisive. </w:t>
      </w:r>
      <w:r>
        <w:rPr>
          <w:rFonts w:ascii="Arial" w:hAnsi="Arial"/>
        </w:rPr>
        <w:t>Creedy and Hérault use tax structure and population as the two factors. They explicitly state that a separate behavioural effect cannot be isolated once money-metric utility is used in their setup. They do not estimate latent job-opportunity distributions, equalize preferences, access, wages, or needs, or use a grouped four-factor game.</w:t>
      </w:r>
    </w:p>
    <w:p>
      <w:pPr>
        <w:pStyle w:val="Heading2"/>
      </w:pPr>
      <w:r>
        <w:rPr>
          <w:rFonts w:ascii="Arial" w:hAnsi="Arial"/>
        </w:rPr>
        <w:t>Bridge three RURO welfare and fairness</w:t>
      </w:r>
    </w:p>
    <w:p>
      <w:r>
        <w:rPr>
          <w:rFonts w:ascii="Arial" w:hAnsi="Arial"/>
          <w:b/>
        </w:rPr>
        <w:t xml:space="preserve">Aaberge and Colombino 2013 is the closest early RURO welfare benchmark. </w:t>
      </w:r>
      <w:r>
        <w:rPr>
          <w:rFonts w:ascii="Arial" w:hAnsi="Arial"/>
        </w:rPr>
        <w:t>It estimates heterogeneous preferences and job opportunities, simulates tax rules, evaluates individual welfare with income and money-metric utility, and compares equality-of-outcome with equality-of-opportunity social criteria. Jia and Thoresen 2021 derive money-metric welfare changes in a job-choice model in which the opportunity measure enters indirect utility and show how the model can compensate for differences in job opportunities. Jacquet, Jia, and Thoresen 2026 separate preferences from circumstances in the distribution of compensating variation by constructing a reference-preference welfare measure.</w:t>
      </w:r>
      <w:r>
        <w:rPr>
          <w:rFonts w:ascii="Arial" w:hAnsi="Arial"/>
          <w:sz w:val="15"/>
          <w:vertAlign w:val="superscript"/>
        </w:rPr>
        <w:t>6</w:t>
      </w:r>
      <w:r>
        <w:rPr>
          <w:rFonts w:ascii="Arial" w:hAnsi="Arial"/>
          <w:sz w:val="15"/>
          <w:vertAlign w:val="superscript"/>
        </w:rPr>
        <w:t>8</w:t>
      </w:r>
    </w:p>
    <w:p>
      <w:r>
        <w:rPr>
          <w:rFonts w:ascii="Arial" w:hAnsi="Arial"/>
          <w:b/>
        </w:rPr>
        <w:t xml:space="preserve">These papers make the welfare and opportunity components non-novel in isolation. </w:t>
      </w:r>
      <w:r>
        <w:rPr>
          <w:rFonts w:ascii="Arial" w:hAnsi="Arial"/>
        </w:rPr>
        <w:t>They do not perform all-coalition Shapley attribution of a level-inequality statistic across P/A/B/D. The same is true of recent RURO policy applications by de Mahieu, Rees, Thoresen and Vatto, Colombino and Islam, and Green and Sonnewald: they recompute labour supply and welfare for policy scenarios, but do not build the proposed decomposition game.</w:t>
      </w:r>
      <w:r>
        <w:rPr>
          <w:rFonts w:ascii="Arial" w:hAnsi="Arial"/>
          <w:sz w:val="15"/>
          <w:vertAlign w:val="superscript"/>
        </w:rPr>
        <w:t>9</w:t>
      </w:r>
    </w:p>
    <w:p>
      <w:pPr>
        <w:pStyle w:val="Heading1"/>
      </w:pPr>
      <w:r>
        <w:rPr>
          <w:rFonts w:ascii="Arial" w:hAnsi="Arial"/>
        </w:rPr>
        <w:t>Closest paper comparison</w:t>
      </w:r>
    </w:p>
    <w:p>
      <w:r>
        <w:rPr>
          <w:rFonts w:ascii="Arial" w:hAnsi="Arial"/>
        </w:rPr>
        <w:t>The two matrices separate substantive objects from computational mechanics. The comparison uses the paper as described in the audit request.</w:t>
      </w:r>
    </w:p>
    <w:p>
      <w:pPr>
        <w:pStyle w:val="Heading2"/>
      </w:pPr>
      <w:r>
        <w:rPr>
          <w:rFonts w:ascii="Arial" w:hAnsi="Arial"/>
        </w:rPr>
        <w:t>Substantive objects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1699"/>
            <w:shd w:fill="17365D"/>
            <w:tcMar>
              <w:top w:w="85" w:type="dxa"/>
              <w:start w:w="95" w:type="dxa"/>
              <w:bottom w:w="85" w:type="dxa"/>
              <w:end w:w="95" w:type="dxa"/>
            </w:tcMar>
            <w:vAlign w:val="center"/>
          </w:tcPr>
          <w:p>
            <w:r>
              <w:rPr>
                <w:rFonts w:ascii="Arial" w:hAnsi="Arial"/>
                <w:b/>
                <w:color w:val="FFFFFF"/>
                <w:sz w:val="16"/>
              </w:rPr>
              <w:t>Paper</w:t>
            </w:r>
          </w:p>
        </w:tc>
        <w:tc>
          <w:tcPr>
            <w:tcW w:type="dxa" w:w="3197"/>
            <w:shd w:fill="17365D"/>
            <w:tcMar>
              <w:top w:w="85" w:type="dxa"/>
              <w:start w:w="95" w:type="dxa"/>
              <w:bottom w:w="85" w:type="dxa"/>
              <w:end w:w="95" w:type="dxa"/>
            </w:tcMar>
            <w:vAlign w:val="center"/>
          </w:tcPr>
          <w:p>
            <w:r>
              <w:rPr>
                <w:rFonts w:ascii="Arial" w:hAnsi="Arial"/>
                <w:b/>
                <w:color w:val="FFFFFF"/>
                <w:sz w:val="16"/>
              </w:rPr>
              <w:t>Outcome and welfare measure</w:t>
            </w:r>
          </w:p>
        </w:tc>
        <w:tc>
          <w:tcPr>
            <w:tcW w:type="dxa" w:w="2765"/>
            <w:shd w:fill="17365D"/>
            <w:tcMar>
              <w:top w:w="85" w:type="dxa"/>
              <w:start w:w="95" w:type="dxa"/>
              <w:bottom w:w="85" w:type="dxa"/>
              <w:end w:w="95" w:type="dxa"/>
            </w:tcMar>
            <w:vAlign w:val="center"/>
          </w:tcPr>
          <w:p>
            <w:r>
              <w:rPr>
                <w:rFonts w:ascii="Arial" w:hAnsi="Arial"/>
                <w:b/>
                <w:color w:val="FFFFFF"/>
                <w:sz w:val="16"/>
              </w:rPr>
              <w:t>Structural model</w:t>
            </w:r>
          </w:p>
        </w:tc>
        <w:tc>
          <w:tcPr>
            <w:tcW w:type="dxa" w:w="2808"/>
            <w:shd w:fill="17365D"/>
            <w:tcMar>
              <w:top w:w="85" w:type="dxa"/>
              <w:start w:w="95" w:type="dxa"/>
              <w:bottom w:w="85" w:type="dxa"/>
              <w:end w:w="95" w:type="dxa"/>
            </w:tcMar>
            <w:vAlign w:val="center"/>
          </w:tcPr>
          <w:p>
            <w:r>
              <w:rPr>
                <w:rFonts w:ascii="Arial" w:hAnsi="Arial"/>
                <w:b/>
                <w:color w:val="FFFFFF"/>
                <w:sz w:val="16"/>
              </w:rPr>
              <w:t>Factors</w:t>
            </w:r>
          </w:p>
        </w:tc>
      </w:tr>
      <w:tr>
        <w:trPr>
          <w:cantSplit/>
        </w:trPr>
        <w:tc>
          <w:tcPr>
            <w:tcW w:type="dxa" w:w="1699"/>
            <w:vAlign w:val="center"/>
            <w:tcMar>
              <w:top w:w="80" w:type="dxa"/>
              <w:start w:w="90" w:type="dxa"/>
              <w:bottom w:w="80" w:type="dxa"/>
              <w:end w:w="90" w:type="dxa"/>
            </w:tcMar>
          </w:tcPr>
          <w:p>
            <w:pPr>
              <w:spacing w:after="0" w:line="240" w:lineRule="auto"/>
            </w:pPr>
            <w:r>
              <w:rPr>
                <w:rFonts w:ascii="Arial" w:hAnsi="Arial"/>
                <w:b/>
                <w:sz w:val="15"/>
              </w:rPr>
              <w:t>Proposed JMP</w:t>
            </w:r>
          </w:p>
        </w:tc>
        <w:tc>
          <w:tcPr>
            <w:tcW w:type="dxa" w:w="3197"/>
            <w:vAlign w:val="center"/>
            <w:tcMar>
              <w:top w:w="80" w:type="dxa"/>
              <w:start w:w="90" w:type="dxa"/>
              <w:bottom w:w="80" w:type="dxa"/>
              <w:end w:w="90" w:type="dxa"/>
            </w:tcMar>
          </w:tcPr>
          <w:p>
            <w:pPr>
              <w:spacing w:after="0" w:line="240" w:lineRule="auto"/>
            </w:pPr>
            <w:r>
              <w:rPr>
                <w:rFonts w:ascii="Arial" w:hAnsi="Arial"/>
                <w:b w:val="0"/>
                <w:sz w:val="15"/>
              </w:rPr>
              <w:t>Inequality of household opportunity-sensitive money-metric well-being</w:t>
            </w:r>
          </w:p>
        </w:tc>
        <w:tc>
          <w:tcPr>
            <w:tcW w:type="dxa" w:w="2765"/>
            <w:vAlign w:val="center"/>
            <w:tcMar>
              <w:top w:w="80" w:type="dxa"/>
              <w:start w:w="90" w:type="dxa"/>
              <w:bottom w:w="80" w:type="dxa"/>
              <w:end w:w="90" w:type="dxa"/>
            </w:tcMar>
          </w:tcPr>
          <w:p>
            <w:pPr>
              <w:spacing w:after="0" w:line="240" w:lineRule="auto"/>
            </w:pPr>
            <w:r>
              <w:rPr>
                <w:rFonts w:ascii="Arial" w:hAnsi="Arial"/>
                <w:b w:val="0"/>
                <w:sz w:val="15"/>
              </w:rPr>
              <w:t>RURO with heterogeneous preferences and household-specific latent-job distributions</w:t>
            </w:r>
          </w:p>
        </w:tc>
        <w:tc>
          <w:tcPr>
            <w:tcW w:type="dxa" w:w="2808"/>
            <w:vAlign w:val="center"/>
            <w:tcMar>
              <w:top w:w="80" w:type="dxa"/>
              <w:start w:w="90" w:type="dxa"/>
              <w:bottom w:w="80" w:type="dxa"/>
              <w:end w:w="90" w:type="dxa"/>
            </w:tcMar>
          </w:tcPr>
          <w:p>
            <w:pPr>
              <w:spacing w:after="0" w:line="240" w:lineRule="auto"/>
            </w:pPr>
            <w:r>
              <w:rPr>
                <w:rFonts w:ascii="Arial" w:hAnsi="Arial"/>
                <w:b w:val="0"/>
                <w:sz w:val="15"/>
              </w:rPr>
              <w:t>P preferences; A access by employment, hours and occupation; B earnings or wages; D resources and needs</w:t>
            </w:r>
          </w:p>
        </w:tc>
      </w:tr>
      <w:tr>
        <w:trPr>
          <w:cantSplit/>
        </w:trPr>
        <w:tc>
          <w:tcPr>
            <w:tcW w:type="dxa" w:w="1699"/>
            <w:vAlign w:val="center"/>
            <w:tcMar>
              <w:top w:w="80" w:type="dxa"/>
              <w:start w:w="90" w:type="dxa"/>
              <w:bottom w:w="80" w:type="dxa"/>
              <w:end w:w="90" w:type="dxa"/>
            </w:tcMar>
            <w:shd w:fill="F4F5F7"/>
          </w:tcPr>
          <w:p>
            <w:pPr>
              <w:spacing w:after="0" w:line="240" w:lineRule="auto"/>
            </w:pPr>
            <w:r>
              <w:rPr>
                <w:rFonts w:ascii="Arial" w:hAnsi="Arial"/>
                <w:b/>
                <w:sz w:val="15"/>
              </w:rPr>
              <w:t>Mühlhan 2023</w:t>
            </w:r>
          </w:p>
        </w:tc>
        <w:tc>
          <w:tcPr>
            <w:tcW w:type="dxa" w:w="3197"/>
            <w:vAlign w:val="center"/>
            <w:tcMar>
              <w:top w:w="80" w:type="dxa"/>
              <w:start w:w="90" w:type="dxa"/>
              <w:bottom w:w="80" w:type="dxa"/>
              <w:end w:w="90" w:type="dxa"/>
            </w:tcMar>
            <w:shd w:fill="F4F5F7"/>
          </w:tcPr>
          <w:p>
            <w:pPr>
              <w:spacing w:after="0" w:line="240" w:lineRule="auto"/>
            </w:pPr>
            <w:r>
              <w:rPr>
                <w:rFonts w:ascii="Arial" w:hAnsi="Arial"/>
                <w:b w:val="0"/>
                <w:sz w:val="15"/>
              </w:rPr>
              <w:t>Gini, Atkinson and quantile ratios of gross and disposable household income</w:t>
            </w:r>
          </w:p>
        </w:tc>
        <w:tc>
          <w:tcPr>
            <w:tcW w:type="dxa" w:w="2765"/>
            <w:vAlign w:val="center"/>
            <w:tcMar>
              <w:top w:w="80" w:type="dxa"/>
              <w:start w:w="90" w:type="dxa"/>
              <w:bottom w:w="80" w:type="dxa"/>
              <w:end w:w="90" w:type="dxa"/>
            </w:tcMar>
            <w:shd w:fill="F4F5F7"/>
          </w:tcPr>
          <w:p>
            <w:pPr>
              <w:spacing w:after="0" w:line="240" w:lineRule="auto"/>
            </w:pPr>
            <w:r>
              <w:rPr>
                <w:rFonts w:ascii="Arial" w:hAnsi="Arial"/>
                <w:b w:val="0"/>
                <w:sz w:val="15"/>
              </w:rPr>
              <w:t>Discrete-hours random utility plus binary involuntary-unemployment restriction model</w:t>
            </w:r>
          </w:p>
        </w:tc>
        <w:tc>
          <w:tcPr>
            <w:tcW w:type="dxa" w:w="2808"/>
            <w:vAlign w:val="center"/>
            <w:tcMar>
              <w:top w:w="80" w:type="dxa"/>
              <w:start w:w="90" w:type="dxa"/>
              <w:bottom w:w="80" w:type="dxa"/>
              <w:end w:w="90" w:type="dxa"/>
            </w:tcMar>
            <w:shd w:fill="F4F5F7"/>
          </w:tcPr>
          <w:p>
            <w:pPr>
              <w:spacing w:after="0" w:line="240" w:lineRule="auto"/>
            </w:pPr>
            <w:r>
              <w:rPr>
                <w:rFonts w:ascii="Arial" w:hAnsi="Arial"/>
                <w:b w:val="0"/>
                <w:sz w:val="15"/>
              </w:rPr>
              <w:t>Policy; induced policy response; wages; induced wage response; preferences; restrictions; population; growth</w:t>
            </w:r>
          </w:p>
        </w:tc>
      </w:tr>
      <w:tr>
        <w:trPr>
          <w:cantSplit/>
        </w:trPr>
        <w:tc>
          <w:tcPr>
            <w:tcW w:type="dxa" w:w="1699"/>
            <w:vAlign w:val="center"/>
            <w:tcMar>
              <w:top w:w="80" w:type="dxa"/>
              <w:start w:w="90" w:type="dxa"/>
              <w:bottom w:w="80" w:type="dxa"/>
              <w:end w:w="90" w:type="dxa"/>
            </w:tcMar>
          </w:tcPr>
          <w:p>
            <w:pPr>
              <w:spacing w:after="0" w:line="240" w:lineRule="auto"/>
            </w:pPr>
            <w:r>
              <w:rPr>
                <w:rFonts w:ascii="Arial" w:hAnsi="Arial"/>
                <w:b/>
                <w:sz w:val="15"/>
              </w:rPr>
              <w:t>Creedy and Hérault 2011</w:t>
            </w:r>
          </w:p>
        </w:tc>
        <w:tc>
          <w:tcPr>
            <w:tcW w:type="dxa" w:w="3197"/>
            <w:vAlign w:val="center"/>
            <w:tcMar>
              <w:top w:w="80" w:type="dxa"/>
              <w:start w:w="90" w:type="dxa"/>
              <w:bottom w:w="80" w:type="dxa"/>
              <w:end w:w="90" w:type="dxa"/>
            </w:tcMar>
          </w:tcPr>
          <w:p>
            <w:pPr>
              <w:spacing w:after="0" w:line="240" w:lineRule="auto"/>
            </w:pPr>
            <w:r>
              <w:rPr>
                <w:rFonts w:ascii="Arial" w:hAnsi="Arial"/>
                <w:b w:val="0"/>
                <w:sz w:val="15"/>
              </w:rPr>
              <w:t>Atkinson inequality and social welfare over disposable income, judge-weighted income-leisure, and money-metric utility</w:t>
            </w:r>
          </w:p>
        </w:tc>
        <w:tc>
          <w:tcPr>
            <w:tcW w:type="dxa" w:w="2765"/>
            <w:vAlign w:val="center"/>
            <w:tcMar>
              <w:top w:w="80" w:type="dxa"/>
              <w:start w:w="90" w:type="dxa"/>
              <w:bottom w:w="80" w:type="dxa"/>
              <w:end w:w="90" w:type="dxa"/>
            </w:tcMar>
          </w:tcPr>
          <w:p>
            <w:pPr>
              <w:spacing w:after="0" w:line="240" w:lineRule="auto"/>
            </w:pPr>
            <w:r>
              <w:rPr>
                <w:rFonts w:ascii="Arial" w:hAnsi="Arial"/>
                <w:b w:val="0"/>
                <w:sz w:val="15"/>
              </w:rPr>
              <w:t>MITTS discrete-hours random-utility labour supply</w:t>
            </w:r>
          </w:p>
        </w:tc>
        <w:tc>
          <w:tcPr>
            <w:tcW w:type="dxa" w:w="2808"/>
            <w:vAlign w:val="center"/>
            <w:tcMar>
              <w:top w:w="80" w:type="dxa"/>
              <w:start w:w="90" w:type="dxa"/>
              <w:bottom w:w="80" w:type="dxa"/>
              <w:end w:w="90" w:type="dxa"/>
            </w:tcMar>
          </w:tcPr>
          <w:p>
            <w:pPr>
              <w:spacing w:after="0" w:line="240" w:lineRule="auto"/>
            </w:pPr>
            <w:r>
              <w:rPr>
                <w:rFonts w:ascii="Arial" w:hAnsi="Arial"/>
                <w:b w:val="0"/>
                <w:sz w:val="15"/>
              </w:rPr>
              <w:t>For money-metric analysis: tax structure and population</w:t>
            </w:r>
          </w:p>
        </w:tc>
      </w:tr>
      <w:tr>
        <w:trPr>
          <w:cantSplit/>
        </w:trPr>
        <w:tc>
          <w:tcPr>
            <w:tcW w:type="dxa" w:w="1699"/>
            <w:vAlign w:val="center"/>
            <w:tcMar>
              <w:top w:w="80" w:type="dxa"/>
              <w:start w:w="90" w:type="dxa"/>
              <w:bottom w:w="80" w:type="dxa"/>
              <w:end w:w="90" w:type="dxa"/>
            </w:tcMar>
            <w:shd w:fill="F4F5F7"/>
          </w:tcPr>
          <w:p>
            <w:pPr>
              <w:spacing w:after="0" w:line="240" w:lineRule="auto"/>
            </w:pPr>
            <w:r>
              <w:rPr>
                <w:rFonts w:ascii="Arial" w:hAnsi="Arial"/>
                <w:b/>
                <w:sz w:val="15"/>
              </w:rPr>
              <w:t>Bargain 2012</w:t>
            </w:r>
          </w:p>
        </w:tc>
        <w:tc>
          <w:tcPr>
            <w:tcW w:type="dxa" w:w="3197"/>
            <w:vAlign w:val="center"/>
            <w:tcMar>
              <w:top w:w="80" w:type="dxa"/>
              <w:start w:w="90" w:type="dxa"/>
              <w:bottom w:w="80" w:type="dxa"/>
              <w:end w:w="90" w:type="dxa"/>
            </w:tcMar>
            <w:shd w:fill="F4F5F7"/>
          </w:tcPr>
          <w:p>
            <w:pPr>
              <w:spacing w:after="0" w:line="240" w:lineRule="auto"/>
            </w:pPr>
            <w:r>
              <w:rPr>
                <w:rFonts w:ascii="Arial" w:hAnsi="Arial"/>
                <w:b w:val="0"/>
                <w:sz w:val="15"/>
              </w:rPr>
              <w:t>Poverty and inequality of equivalized disposable income</w:t>
            </w:r>
          </w:p>
        </w:tc>
        <w:tc>
          <w:tcPr>
            <w:tcW w:type="dxa" w:w="2765"/>
            <w:vAlign w:val="center"/>
            <w:tcMar>
              <w:top w:w="80" w:type="dxa"/>
              <w:start w:w="90" w:type="dxa"/>
              <w:bottom w:w="80" w:type="dxa"/>
              <w:end w:w="90" w:type="dxa"/>
            </w:tcMar>
            <w:shd w:fill="F4F5F7"/>
          </w:tcPr>
          <w:p>
            <w:pPr>
              <w:spacing w:after="0" w:line="240" w:lineRule="auto"/>
            </w:pPr>
            <w:r>
              <w:rPr>
                <w:rFonts w:ascii="Arial" w:hAnsi="Arial"/>
                <w:b w:val="0"/>
                <w:sz w:val="15"/>
              </w:rPr>
              <w:t>Structural discrete-choice labour supply in behavioural microsimulation</w:t>
            </w:r>
          </w:p>
        </w:tc>
        <w:tc>
          <w:tcPr>
            <w:tcW w:type="dxa" w:w="2808"/>
            <w:vAlign w:val="center"/>
            <w:tcMar>
              <w:top w:w="80" w:type="dxa"/>
              <w:start w:w="90" w:type="dxa"/>
              <w:bottom w:w="80" w:type="dxa"/>
              <w:end w:w="90" w:type="dxa"/>
            </w:tcMar>
            <w:shd w:fill="F4F5F7"/>
          </w:tcPr>
          <w:p>
            <w:pPr>
              <w:spacing w:after="0" w:line="240" w:lineRule="auto"/>
            </w:pPr>
            <w:r>
              <w:rPr>
                <w:rFonts w:ascii="Arial" w:hAnsi="Arial"/>
                <w:b w:val="0"/>
                <w:sz w:val="15"/>
              </w:rPr>
              <w:t>Direct tax-benefit policy; induced labour supply; residual environment</w:t>
            </w:r>
          </w:p>
        </w:tc>
      </w:tr>
      <w:tr>
        <w:trPr>
          <w:cantSplit/>
        </w:trPr>
        <w:tc>
          <w:tcPr>
            <w:tcW w:type="dxa" w:w="1699"/>
            <w:vAlign w:val="center"/>
            <w:tcMar>
              <w:top w:w="80" w:type="dxa"/>
              <w:start w:w="90" w:type="dxa"/>
              <w:bottom w:w="80" w:type="dxa"/>
              <w:end w:w="90" w:type="dxa"/>
            </w:tcMar>
          </w:tcPr>
          <w:p>
            <w:pPr>
              <w:spacing w:after="0" w:line="240" w:lineRule="auto"/>
            </w:pPr>
            <w:r>
              <w:rPr>
                <w:rFonts w:ascii="Arial" w:hAnsi="Arial"/>
                <w:b/>
                <w:sz w:val="15"/>
              </w:rPr>
              <w:t>Jessen 2019</w:t>
            </w:r>
          </w:p>
        </w:tc>
        <w:tc>
          <w:tcPr>
            <w:tcW w:type="dxa" w:w="3197"/>
            <w:vAlign w:val="center"/>
            <w:tcMar>
              <w:top w:w="80" w:type="dxa"/>
              <w:start w:w="90" w:type="dxa"/>
              <w:bottom w:w="80" w:type="dxa"/>
              <w:end w:w="90" w:type="dxa"/>
            </w:tcMar>
          </w:tcPr>
          <w:p>
            <w:pPr>
              <w:spacing w:after="0" w:line="240" w:lineRule="auto"/>
            </w:pPr>
            <w:r>
              <w:rPr>
                <w:rFonts w:ascii="Arial" w:hAnsi="Arial"/>
                <w:b w:val="0"/>
                <w:sz w:val="15"/>
              </w:rPr>
              <w:t>Gini, mean log deviation and percentile ratios of equivalized net household income</w:t>
            </w:r>
          </w:p>
        </w:tc>
        <w:tc>
          <w:tcPr>
            <w:tcW w:type="dxa" w:w="2765"/>
            <w:vAlign w:val="center"/>
            <w:tcMar>
              <w:top w:w="80" w:type="dxa"/>
              <w:start w:w="90" w:type="dxa"/>
              <w:bottom w:w="80" w:type="dxa"/>
              <w:end w:w="90" w:type="dxa"/>
            </w:tcMar>
          </w:tcPr>
          <w:p>
            <w:pPr>
              <w:spacing w:after="0" w:line="240" w:lineRule="auto"/>
            </w:pPr>
            <w:r>
              <w:rPr>
                <w:rFonts w:ascii="Arial" w:hAnsi="Arial"/>
                <w:b w:val="0"/>
                <w:sz w:val="15"/>
              </w:rPr>
              <w:t>Behavioural tax-benefit microsimulation with discrete-choice labour supply</w:t>
            </w:r>
          </w:p>
        </w:tc>
        <w:tc>
          <w:tcPr>
            <w:tcW w:type="dxa" w:w="2808"/>
            <w:vAlign w:val="center"/>
            <w:tcMar>
              <w:top w:w="80" w:type="dxa"/>
              <w:start w:w="90" w:type="dxa"/>
              <w:bottom w:w="80" w:type="dxa"/>
              <w:end w:w="90" w:type="dxa"/>
            </w:tcMar>
          </w:tcPr>
          <w:p>
            <w:pPr>
              <w:spacing w:after="0" w:line="240" w:lineRule="auto"/>
            </w:pPr>
            <w:r>
              <w:rPr>
                <w:rFonts w:ascii="Arial" w:hAnsi="Arial"/>
                <w:b w:val="0"/>
                <w:sz w:val="15"/>
              </w:rPr>
              <w:t>Policy; wages; population; labour-supply responses</w:t>
            </w:r>
          </w:p>
        </w:tc>
      </w:tr>
      <w:tr>
        <w:trPr>
          <w:cantSplit/>
        </w:trPr>
        <w:tc>
          <w:tcPr>
            <w:tcW w:type="dxa" w:w="1699"/>
            <w:vAlign w:val="center"/>
            <w:tcMar>
              <w:top w:w="80" w:type="dxa"/>
              <w:start w:w="90" w:type="dxa"/>
              <w:bottom w:w="80" w:type="dxa"/>
              <w:end w:w="90" w:type="dxa"/>
            </w:tcMar>
            <w:shd w:fill="F4F5F7"/>
          </w:tcPr>
          <w:p>
            <w:pPr>
              <w:spacing w:after="0" w:line="240" w:lineRule="auto"/>
            </w:pPr>
            <w:r>
              <w:rPr>
                <w:rFonts w:ascii="Arial" w:hAnsi="Arial"/>
                <w:b/>
                <w:sz w:val="15"/>
              </w:rPr>
              <w:t>Aaberge and Colombino 2013</w:t>
            </w:r>
          </w:p>
        </w:tc>
        <w:tc>
          <w:tcPr>
            <w:tcW w:type="dxa" w:w="3197"/>
            <w:vAlign w:val="center"/>
            <w:tcMar>
              <w:top w:w="80" w:type="dxa"/>
              <w:start w:w="90" w:type="dxa"/>
              <w:bottom w:w="80" w:type="dxa"/>
              <w:end w:w="90" w:type="dxa"/>
            </w:tcMar>
            <w:shd w:fill="F4F5F7"/>
          </w:tcPr>
          <w:p>
            <w:pPr>
              <w:spacing w:after="0" w:line="240" w:lineRule="auto"/>
            </w:pPr>
            <w:r>
              <w:rPr>
                <w:rFonts w:ascii="Arial" w:hAnsi="Arial"/>
                <w:b w:val="0"/>
                <w:sz w:val="15"/>
              </w:rPr>
              <w:t>Individual welfare and social welfare under equality of outcome or opportunity; income and money-metric utility</w:t>
            </w:r>
          </w:p>
        </w:tc>
        <w:tc>
          <w:tcPr>
            <w:tcW w:type="dxa" w:w="2765"/>
            <w:vAlign w:val="center"/>
            <w:tcMar>
              <w:top w:w="80" w:type="dxa"/>
              <w:start w:w="90" w:type="dxa"/>
              <w:bottom w:w="80" w:type="dxa"/>
              <w:end w:w="90" w:type="dxa"/>
            </w:tcMar>
            <w:shd w:fill="F4F5F7"/>
          </w:tcPr>
          <w:p>
            <w:pPr>
              <w:spacing w:after="0" w:line="240" w:lineRule="auto"/>
            </w:pPr>
            <w:r>
              <w:rPr>
                <w:rFonts w:ascii="Arial" w:hAnsi="Arial"/>
                <w:b w:val="0"/>
                <w:sz w:val="15"/>
              </w:rPr>
              <w:t>RURO household labour supply with heterogeneous preferences and job opportunities</w:t>
            </w:r>
          </w:p>
        </w:tc>
        <w:tc>
          <w:tcPr>
            <w:tcW w:type="dxa" w:w="2808"/>
            <w:vAlign w:val="center"/>
            <w:tcMar>
              <w:top w:w="80" w:type="dxa"/>
              <w:start w:w="90" w:type="dxa"/>
              <w:bottom w:w="80" w:type="dxa"/>
              <w:end w:w="90" w:type="dxa"/>
            </w:tcMar>
            <w:shd w:fill="F4F5F7"/>
          </w:tcPr>
          <w:p>
            <w:pPr>
              <w:spacing w:after="0" w:line="240" w:lineRule="auto"/>
            </w:pPr>
            <w:r>
              <w:rPr>
                <w:rFonts w:ascii="Arial" w:hAnsi="Arial"/>
                <w:b w:val="0"/>
                <w:sz w:val="15"/>
              </w:rPr>
              <w:t>Alternative tax rules; normative EO and EOp criteria, not factor attribution</w:t>
            </w:r>
          </w:p>
        </w:tc>
      </w:tr>
      <w:tr>
        <w:trPr>
          <w:cantSplit/>
        </w:trPr>
        <w:tc>
          <w:tcPr>
            <w:tcW w:type="dxa" w:w="1699"/>
            <w:vAlign w:val="center"/>
            <w:tcMar>
              <w:top w:w="80" w:type="dxa"/>
              <w:start w:w="90" w:type="dxa"/>
              <w:bottom w:w="80" w:type="dxa"/>
              <w:end w:w="90" w:type="dxa"/>
            </w:tcMar>
          </w:tcPr>
          <w:p>
            <w:pPr>
              <w:spacing w:after="0" w:line="240" w:lineRule="auto"/>
            </w:pPr>
            <w:r>
              <w:rPr>
                <w:rFonts w:ascii="Arial" w:hAnsi="Arial"/>
                <w:b/>
                <w:sz w:val="15"/>
              </w:rPr>
              <w:t>Jia and Thoresen 2021</w:t>
            </w:r>
          </w:p>
        </w:tc>
        <w:tc>
          <w:tcPr>
            <w:tcW w:type="dxa" w:w="3197"/>
            <w:vAlign w:val="center"/>
            <w:tcMar>
              <w:top w:w="80" w:type="dxa"/>
              <w:start w:w="90" w:type="dxa"/>
              <w:bottom w:w="80" w:type="dxa"/>
              <w:end w:w="90" w:type="dxa"/>
            </w:tcMar>
          </w:tcPr>
          <w:p>
            <w:pPr>
              <w:spacing w:after="0" w:line="240" w:lineRule="auto"/>
            </w:pPr>
            <w:r>
              <w:rPr>
                <w:rFonts w:ascii="Arial" w:hAnsi="Arial"/>
                <w:b w:val="0"/>
                <w:sz w:val="15"/>
              </w:rPr>
              <w:t>Distribution of compensating variation from the Norwegian 2013-2019 tax reform</w:t>
            </w:r>
          </w:p>
        </w:tc>
        <w:tc>
          <w:tcPr>
            <w:tcW w:type="dxa" w:w="2765"/>
            <w:vAlign w:val="center"/>
            <w:tcMar>
              <w:top w:w="80" w:type="dxa"/>
              <w:start w:w="90" w:type="dxa"/>
              <w:bottom w:w="80" w:type="dxa"/>
              <w:end w:w="90" w:type="dxa"/>
            </w:tcMar>
          </w:tcPr>
          <w:p>
            <w:pPr>
              <w:spacing w:after="0" w:line="240" w:lineRule="auto"/>
            </w:pPr>
            <w:r>
              <w:rPr>
                <w:rFonts w:ascii="Arial" w:hAnsi="Arial"/>
                <w:b w:val="0"/>
                <w:sz w:val="15"/>
              </w:rPr>
              <w:t>RURO job-choice model with opportunity measure in indirect utility</w:t>
            </w:r>
          </w:p>
        </w:tc>
        <w:tc>
          <w:tcPr>
            <w:tcW w:type="dxa" w:w="2808"/>
            <w:vAlign w:val="center"/>
            <w:tcMar>
              <w:top w:w="80" w:type="dxa"/>
              <w:start w:w="90" w:type="dxa"/>
              <w:bottom w:w="80" w:type="dxa"/>
              <w:end w:w="90" w:type="dxa"/>
            </w:tcMar>
          </w:tcPr>
          <w:p>
            <w:pPr>
              <w:spacing w:after="0" w:line="240" w:lineRule="auto"/>
            </w:pPr>
            <w:r>
              <w:rPr>
                <w:rFonts w:ascii="Arial" w:hAnsi="Arial"/>
                <w:b w:val="0"/>
                <w:sz w:val="15"/>
              </w:rPr>
              <w:t>Policy reform; preference and job-opportunity heterogeneity enter welfare, but are not Shapley factors</w:t>
            </w:r>
          </w:p>
        </w:tc>
      </w:tr>
      <w:tr>
        <w:trPr>
          <w:cantSplit/>
        </w:trPr>
        <w:tc>
          <w:tcPr>
            <w:tcW w:type="dxa" w:w="1699"/>
            <w:vAlign w:val="center"/>
            <w:tcMar>
              <w:top w:w="80" w:type="dxa"/>
              <w:start w:w="90" w:type="dxa"/>
              <w:bottom w:w="80" w:type="dxa"/>
              <w:end w:w="90" w:type="dxa"/>
            </w:tcMar>
            <w:shd w:fill="F4F5F7"/>
          </w:tcPr>
          <w:p>
            <w:pPr>
              <w:spacing w:after="0" w:line="240" w:lineRule="auto"/>
            </w:pPr>
            <w:r>
              <w:rPr>
                <w:rFonts w:ascii="Arial" w:hAnsi="Arial"/>
                <w:b/>
                <w:sz w:val="15"/>
              </w:rPr>
              <w:t>Jacquet Jia and Thoresen 2026</w:t>
            </w:r>
          </w:p>
        </w:tc>
        <w:tc>
          <w:tcPr>
            <w:tcW w:type="dxa" w:w="3197"/>
            <w:vAlign w:val="center"/>
            <w:tcMar>
              <w:top w:w="80" w:type="dxa"/>
              <w:start w:w="90" w:type="dxa"/>
              <w:bottom w:w="80" w:type="dxa"/>
              <w:end w:w="90" w:type="dxa"/>
            </w:tcMar>
            <w:shd w:fill="F4F5F7"/>
          </w:tcPr>
          <w:p>
            <w:pPr>
              <w:spacing w:after="0" w:line="240" w:lineRule="auto"/>
            </w:pPr>
            <w:r>
              <w:rPr>
                <w:rFonts w:ascii="Arial" w:hAnsi="Arial"/>
                <w:b w:val="0"/>
                <w:sz w:val="15"/>
              </w:rPr>
              <w:t>Distributions of standard CV and circumstance-only CV for a tax reform</w:t>
            </w:r>
          </w:p>
        </w:tc>
        <w:tc>
          <w:tcPr>
            <w:tcW w:type="dxa" w:w="2765"/>
            <w:vAlign w:val="center"/>
            <w:tcMar>
              <w:top w:w="80" w:type="dxa"/>
              <w:start w:w="90" w:type="dxa"/>
              <w:bottom w:w="80" w:type="dxa"/>
              <w:end w:w="90" w:type="dxa"/>
            </w:tcMar>
            <w:shd w:fill="F4F5F7"/>
          </w:tcPr>
          <w:p>
            <w:pPr>
              <w:spacing w:after="0" w:line="240" w:lineRule="auto"/>
            </w:pPr>
            <w:r>
              <w:rPr>
                <w:rFonts w:ascii="Arial" w:hAnsi="Arial"/>
                <w:b w:val="0"/>
                <w:sz w:val="15"/>
              </w:rPr>
              <w:t>Structural job-choice model with preferences and circumstances</w:t>
            </w:r>
          </w:p>
        </w:tc>
        <w:tc>
          <w:tcPr>
            <w:tcW w:type="dxa" w:w="2808"/>
            <w:vAlign w:val="center"/>
            <w:tcMar>
              <w:top w:w="80" w:type="dxa"/>
              <w:start w:w="90" w:type="dxa"/>
              <w:bottom w:w="80" w:type="dxa"/>
              <w:end w:w="90" w:type="dxa"/>
            </w:tcMar>
            <w:shd w:fill="F4F5F7"/>
          </w:tcPr>
          <w:p>
            <w:pPr>
              <w:spacing w:after="0" w:line="240" w:lineRule="auto"/>
            </w:pPr>
            <w:r>
              <w:rPr>
                <w:rFonts w:ascii="Arial" w:hAnsi="Arial"/>
                <w:b w:val="0"/>
                <w:sz w:val="15"/>
              </w:rPr>
              <w:t>Preferences versus circumstances through a reference-preference welfare construction</w:t>
            </w:r>
          </w:p>
        </w:tc>
      </w:tr>
      <w:tr>
        <w:trPr>
          <w:cantSplit/>
        </w:trPr>
        <w:tc>
          <w:tcPr>
            <w:tcW w:type="dxa" w:w="1699"/>
            <w:vAlign w:val="center"/>
            <w:tcMar>
              <w:top w:w="80" w:type="dxa"/>
              <w:start w:w="90" w:type="dxa"/>
              <w:bottom w:w="80" w:type="dxa"/>
              <w:end w:w="90" w:type="dxa"/>
            </w:tcMar>
          </w:tcPr>
          <w:p>
            <w:pPr>
              <w:spacing w:after="0" w:line="240" w:lineRule="auto"/>
            </w:pPr>
            <w:r>
              <w:rPr>
                <w:rFonts w:ascii="Arial" w:hAnsi="Arial"/>
                <w:b/>
                <w:sz w:val="15"/>
              </w:rPr>
              <w:t>Decoster and Haan 2015</w:t>
            </w:r>
          </w:p>
        </w:tc>
        <w:tc>
          <w:tcPr>
            <w:tcW w:type="dxa" w:w="3197"/>
            <w:vAlign w:val="center"/>
            <w:tcMar>
              <w:top w:w="80" w:type="dxa"/>
              <w:start w:w="90" w:type="dxa"/>
              <w:bottom w:w="80" w:type="dxa"/>
              <w:end w:w="90" w:type="dxa"/>
            </w:tcMar>
          </w:tcPr>
          <w:p>
            <w:pPr>
              <w:spacing w:after="0" w:line="240" w:lineRule="auto"/>
            </w:pPr>
            <w:r>
              <w:rPr>
                <w:rFonts w:ascii="Arial" w:hAnsi="Arial"/>
                <w:b w:val="0"/>
                <w:sz w:val="15"/>
              </w:rPr>
              <w:t>Household welfare orderings and tax-reform assessment under alternative comparable welfare metrics</w:t>
            </w:r>
          </w:p>
        </w:tc>
        <w:tc>
          <w:tcPr>
            <w:tcW w:type="dxa" w:w="2765"/>
            <w:vAlign w:val="center"/>
            <w:tcMar>
              <w:top w:w="80" w:type="dxa"/>
              <w:start w:w="90" w:type="dxa"/>
              <w:bottom w:w="80" w:type="dxa"/>
              <w:end w:w="90" w:type="dxa"/>
            </w:tcMar>
          </w:tcPr>
          <w:p>
            <w:pPr>
              <w:spacing w:after="0" w:line="240" w:lineRule="auto"/>
            </w:pPr>
            <w:r>
              <w:rPr>
                <w:rFonts w:ascii="Arial" w:hAnsi="Arial"/>
                <w:b w:val="0"/>
                <w:sz w:val="15"/>
              </w:rPr>
              <w:t>Structural random-utility discrete-choice labour supply</w:t>
            </w:r>
          </w:p>
        </w:tc>
        <w:tc>
          <w:tcPr>
            <w:tcW w:type="dxa" w:w="2808"/>
            <w:vAlign w:val="center"/>
            <w:tcMar>
              <w:top w:w="80" w:type="dxa"/>
              <w:start w:w="90" w:type="dxa"/>
              <w:bottom w:w="80" w:type="dxa"/>
              <w:end w:w="90" w:type="dxa"/>
            </w:tcMar>
          </w:tcPr>
          <w:p>
            <w:pPr>
              <w:spacing w:after="0" w:line="240" w:lineRule="auto"/>
            </w:pPr>
            <w:r>
              <w:rPr>
                <w:rFonts w:ascii="Arial" w:hAnsi="Arial"/>
                <w:b w:val="0"/>
                <w:sz w:val="15"/>
              </w:rPr>
              <w:t>Preference heterogeneity and normative reference choices, not an attribution game</w:t>
            </w:r>
          </w:p>
        </w:tc>
      </w:tr>
      <w:tr>
        <w:trPr>
          <w:cantSplit/>
        </w:trPr>
        <w:tc>
          <w:tcPr>
            <w:tcW w:type="dxa" w:w="1699"/>
            <w:vAlign w:val="center"/>
            <w:tcMar>
              <w:top w:w="80" w:type="dxa"/>
              <w:start w:w="90" w:type="dxa"/>
              <w:bottom w:w="80" w:type="dxa"/>
              <w:end w:w="90" w:type="dxa"/>
            </w:tcMar>
            <w:shd w:fill="F4F5F7"/>
          </w:tcPr>
          <w:p>
            <w:pPr>
              <w:spacing w:after="0" w:line="240" w:lineRule="auto"/>
            </w:pPr>
            <w:r>
              <w:rPr>
                <w:rFonts w:ascii="Arial" w:hAnsi="Arial"/>
                <w:b/>
                <w:sz w:val="15"/>
              </w:rPr>
              <w:t>Ooghe Schokkaert and Serruys 2025</w:t>
            </w:r>
          </w:p>
        </w:tc>
        <w:tc>
          <w:tcPr>
            <w:tcW w:type="dxa" w:w="3197"/>
            <w:vAlign w:val="center"/>
            <w:tcMar>
              <w:top w:w="80" w:type="dxa"/>
              <w:start w:w="90" w:type="dxa"/>
              <w:bottom w:w="80" w:type="dxa"/>
              <w:end w:w="90" w:type="dxa"/>
            </w:tcMar>
            <w:shd w:fill="F4F5F7"/>
          </w:tcPr>
          <w:p>
            <w:pPr>
              <w:spacing w:after="0" w:line="240" w:lineRule="auto"/>
            </w:pPr>
            <w:r>
              <w:rPr>
                <w:rFonts w:ascii="Arial" w:hAnsi="Arial"/>
                <w:b w:val="0"/>
                <w:sz w:val="15"/>
              </w:rPr>
              <w:t>Fairness gaps in money-metric utility and social welfare</w:t>
            </w:r>
          </w:p>
        </w:tc>
        <w:tc>
          <w:tcPr>
            <w:tcW w:type="dxa" w:w="2765"/>
            <w:vAlign w:val="center"/>
            <w:tcMar>
              <w:top w:w="80" w:type="dxa"/>
              <w:start w:w="90" w:type="dxa"/>
              <w:bottom w:w="80" w:type="dxa"/>
              <w:end w:w="90" w:type="dxa"/>
            </w:tcMar>
            <w:shd w:fill="F4F5F7"/>
          </w:tcPr>
          <w:p>
            <w:pPr>
              <w:spacing w:after="0" w:line="240" w:lineRule="auto"/>
            </w:pPr>
            <w:r>
              <w:rPr>
                <w:rFonts w:ascii="Arial" w:hAnsi="Arial"/>
                <w:b w:val="0"/>
                <w:sz w:val="15"/>
              </w:rPr>
              <w:t>Earnings choice with skill and preference heterogeneity</w:t>
            </w:r>
          </w:p>
        </w:tc>
        <w:tc>
          <w:tcPr>
            <w:tcW w:type="dxa" w:w="2808"/>
            <w:vAlign w:val="center"/>
            <w:tcMar>
              <w:top w:w="80" w:type="dxa"/>
              <w:start w:w="90" w:type="dxa"/>
              <w:bottom w:w="80" w:type="dxa"/>
              <w:end w:w="90" w:type="dxa"/>
            </w:tcMar>
            <w:shd w:fill="F4F5F7"/>
          </w:tcPr>
          <w:p>
            <w:pPr>
              <w:spacing w:after="0" w:line="240" w:lineRule="auto"/>
            </w:pPr>
            <w:r>
              <w:rPr>
                <w:rFonts w:ascii="Arial" w:hAnsi="Arial"/>
                <w:b w:val="0"/>
                <w:sz w:val="15"/>
              </w:rPr>
              <w:t>Revenue; excess burden; unfair inequality in an analytical welfare identity</w:t>
            </w:r>
          </w:p>
        </w:tc>
      </w:tr>
      <w:tr>
        <w:trPr>
          <w:cantSplit/>
        </w:trPr>
        <w:tc>
          <w:tcPr>
            <w:tcW w:type="dxa" w:w="1699"/>
            <w:vAlign w:val="center"/>
            <w:tcMar>
              <w:top w:w="80" w:type="dxa"/>
              <w:start w:w="90" w:type="dxa"/>
              <w:bottom w:w="80" w:type="dxa"/>
              <w:end w:w="90" w:type="dxa"/>
            </w:tcMar>
          </w:tcPr>
          <w:p>
            <w:pPr>
              <w:spacing w:after="0" w:line="240" w:lineRule="auto"/>
            </w:pPr>
            <w:r>
              <w:rPr>
                <w:rFonts w:ascii="Arial" w:hAnsi="Arial"/>
                <w:b/>
                <w:sz w:val="15"/>
              </w:rPr>
              <w:t>Piacquadio 2026</w:t>
            </w:r>
          </w:p>
        </w:tc>
        <w:tc>
          <w:tcPr>
            <w:tcW w:type="dxa" w:w="3197"/>
            <w:vAlign w:val="center"/>
            <w:tcMar>
              <w:top w:w="80" w:type="dxa"/>
              <w:start w:w="90" w:type="dxa"/>
              <w:bottom w:w="80" w:type="dxa"/>
              <w:end w:w="90" w:type="dxa"/>
            </w:tcMar>
          </w:tcPr>
          <w:p>
            <w:pPr>
              <w:spacing w:after="0" w:line="240" w:lineRule="auto"/>
            </w:pPr>
            <w:r>
              <w:rPr>
                <w:rFonts w:ascii="Arial" w:hAnsi="Arial"/>
                <w:b w:val="0"/>
                <w:sz w:val="15"/>
              </w:rPr>
              <w:t>Individual and social deprivation based on preferences, opportunities and needs</w:t>
            </w:r>
          </w:p>
        </w:tc>
        <w:tc>
          <w:tcPr>
            <w:tcW w:type="dxa" w:w="2765"/>
            <w:vAlign w:val="center"/>
            <w:tcMar>
              <w:top w:w="80" w:type="dxa"/>
              <w:start w:w="90" w:type="dxa"/>
              <w:bottom w:w="80" w:type="dxa"/>
              <w:end w:w="90" w:type="dxa"/>
            </w:tcMar>
          </w:tcPr>
          <w:p>
            <w:pPr>
              <w:spacing w:after="0" w:line="240" w:lineRule="auto"/>
            </w:pPr>
            <w:r>
              <w:rPr>
                <w:rFonts w:ascii="Arial" w:hAnsi="Arial"/>
                <w:b w:val="0"/>
                <w:sz w:val="15"/>
              </w:rPr>
              <w:t>Axiomatic framework with a Norwegian random-utility illustration</w:t>
            </w:r>
          </w:p>
        </w:tc>
        <w:tc>
          <w:tcPr>
            <w:tcW w:type="dxa" w:w="2808"/>
            <w:vAlign w:val="center"/>
            <w:tcMar>
              <w:top w:w="80" w:type="dxa"/>
              <w:start w:w="90" w:type="dxa"/>
              <w:bottom w:w="80" w:type="dxa"/>
              <w:end w:w="90" w:type="dxa"/>
            </w:tcMar>
          </w:tcPr>
          <w:p>
            <w:pPr>
              <w:spacing w:after="0" w:line="240" w:lineRule="auto"/>
            </w:pPr>
            <w:r>
              <w:rPr>
                <w:rFonts w:ascii="Arial" w:hAnsi="Arial"/>
                <w:b w:val="0"/>
                <w:sz w:val="15"/>
              </w:rPr>
              <w:t>Opportunity deprivation and needs; no Shapley factors</w:t>
            </w:r>
          </w:p>
        </w:tc>
      </w:tr>
      <w:tr>
        <w:trPr>
          <w:cantSplit/>
        </w:trPr>
        <w:tc>
          <w:tcPr>
            <w:tcW w:type="dxa" w:w="1699"/>
            <w:vAlign w:val="center"/>
            <w:tcMar>
              <w:top w:w="80" w:type="dxa"/>
              <w:start w:w="90" w:type="dxa"/>
              <w:bottom w:w="80" w:type="dxa"/>
              <w:end w:w="90" w:type="dxa"/>
            </w:tcMar>
            <w:shd w:fill="F4F5F7"/>
          </w:tcPr>
          <w:p>
            <w:pPr>
              <w:spacing w:after="0" w:line="240" w:lineRule="auto"/>
            </w:pPr>
            <w:r>
              <w:rPr>
                <w:rFonts w:ascii="Arial" w:hAnsi="Arial"/>
                <w:b/>
                <w:sz w:val="15"/>
              </w:rPr>
              <w:t>Bourguignon Ferreira and Leite 2008</w:t>
            </w:r>
          </w:p>
        </w:tc>
        <w:tc>
          <w:tcPr>
            <w:tcW w:type="dxa" w:w="3197"/>
            <w:vAlign w:val="center"/>
            <w:tcMar>
              <w:top w:w="80" w:type="dxa"/>
              <w:start w:w="90" w:type="dxa"/>
              <w:bottom w:w="80" w:type="dxa"/>
              <w:end w:w="90" w:type="dxa"/>
            </w:tcMar>
            <w:shd w:fill="F4F5F7"/>
          </w:tcPr>
          <w:p>
            <w:pPr>
              <w:spacing w:after="0" w:line="240" w:lineRule="auto"/>
            </w:pPr>
            <w:r>
              <w:rPr>
                <w:rFonts w:ascii="Arial" w:hAnsi="Arial"/>
                <w:b w:val="0"/>
                <w:sz w:val="15"/>
              </w:rPr>
              <w:t>Inequality and poverty of household income</w:t>
            </w:r>
          </w:p>
        </w:tc>
        <w:tc>
          <w:tcPr>
            <w:tcW w:type="dxa" w:w="2765"/>
            <w:vAlign w:val="center"/>
            <w:tcMar>
              <w:top w:w="80" w:type="dxa"/>
              <w:start w:w="90" w:type="dxa"/>
              <w:bottom w:w="80" w:type="dxa"/>
              <w:end w:w="90" w:type="dxa"/>
            </w:tcMar>
            <w:shd w:fill="F4F5F7"/>
          </w:tcPr>
          <w:p>
            <w:pPr>
              <w:spacing w:after="0" w:line="240" w:lineRule="auto"/>
            </w:pPr>
            <w:r>
              <w:rPr>
                <w:rFonts w:ascii="Arial" w:hAnsi="Arial"/>
                <w:b w:val="0"/>
                <w:sz w:val="15"/>
              </w:rPr>
              <w:t>Microeconometric income-generation and occupational-choice models</w:t>
            </w:r>
          </w:p>
        </w:tc>
        <w:tc>
          <w:tcPr>
            <w:tcW w:type="dxa" w:w="2808"/>
            <w:vAlign w:val="center"/>
            <w:tcMar>
              <w:top w:w="80" w:type="dxa"/>
              <w:start w:w="90" w:type="dxa"/>
              <w:bottom w:w="80" w:type="dxa"/>
              <w:end w:w="90" w:type="dxa"/>
            </w:tcMar>
            <w:shd w:fill="F4F5F7"/>
          </w:tcPr>
          <w:p>
            <w:pPr>
              <w:spacing w:after="0" w:line="240" w:lineRule="auto"/>
            </w:pPr>
            <w:r>
              <w:rPr>
                <w:rFonts w:ascii="Arial" w:hAnsi="Arial"/>
                <w:b w:val="0"/>
                <w:sz w:val="15"/>
              </w:rPr>
              <w:t>Returns or prices; occupational structure; endowments; demographics and non-labour income</w:t>
            </w:r>
          </w:p>
        </w:tc>
      </w:tr>
    </w:tbl>
    <w:p>
      <w:pPr>
        <w:spacing w:after="0"/>
      </w:pPr>
    </w:p>
    <w:p>
      <w:r>
        <w:rPr>
          <w:rFonts w:ascii="Arial" w:hAnsi="Arial"/>
        </w:rPr>
        <w:br w:type="page"/>
      </w:r>
    </w:p>
    <w:p>
      <w:pPr>
        <w:pStyle w:val="Heading2"/>
      </w:pPr>
      <w:r>
        <w:rPr>
          <w:rFonts w:ascii="Arial" w:hAnsi="Arial"/>
        </w:rPr>
        <w:t>Decomposition mechanics and exact boundary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1728"/>
            <w:shd w:fill="17365D"/>
            <w:tcMar>
              <w:top w:w="85" w:type="dxa"/>
              <w:start w:w="95" w:type="dxa"/>
              <w:bottom w:w="85" w:type="dxa"/>
              <w:end w:w="95" w:type="dxa"/>
            </w:tcMar>
            <w:vAlign w:val="center"/>
          </w:tcPr>
          <w:p>
            <w:r>
              <w:rPr>
                <w:rFonts w:ascii="Arial" w:hAnsi="Arial"/>
                <w:b/>
                <w:color w:val="FFFFFF"/>
                <w:sz w:val="16"/>
              </w:rPr>
              <w:t>Paper</w:t>
            </w:r>
          </w:p>
        </w:tc>
        <w:tc>
          <w:tcPr>
            <w:tcW w:type="dxa" w:w="3355"/>
            <w:shd w:fill="17365D"/>
            <w:tcMar>
              <w:top w:w="85" w:type="dxa"/>
              <w:start w:w="95" w:type="dxa"/>
              <w:bottom w:w="85" w:type="dxa"/>
              <w:end w:w="95" w:type="dxa"/>
            </w:tcMar>
            <w:vAlign w:val="center"/>
          </w:tcPr>
          <w:p>
            <w:r>
              <w:rPr>
                <w:rFonts w:ascii="Arial" w:hAnsi="Arial"/>
                <w:b/>
                <w:color w:val="FFFFFF"/>
                <w:sz w:val="16"/>
              </w:rPr>
              <w:t>Algorithm and recomputation</w:t>
            </w:r>
          </w:p>
        </w:tc>
        <w:tc>
          <w:tcPr>
            <w:tcW w:type="dxa" w:w="2635"/>
            <w:shd w:fill="17365D"/>
            <w:tcMar>
              <w:top w:w="85" w:type="dxa"/>
              <w:start w:w="95" w:type="dxa"/>
              <w:bottom w:w="85" w:type="dxa"/>
              <w:end w:w="95" w:type="dxa"/>
            </w:tcMar>
            <w:vAlign w:val="center"/>
          </w:tcPr>
          <w:p>
            <w:r>
              <w:rPr>
                <w:rFonts w:ascii="Arial" w:hAnsi="Arial"/>
                <w:b/>
                <w:color w:val="FFFFFF"/>
                <w:sz w:val="16"/>
              </w:rPr>
              <w:t>Overlap</w:t>
            </w:r>
          </w:p>
        </w:tc>
        <w:tc>
          <w:tcPr>
            <w:tcW w:type="dxa" w:w="2736"/>
            <w:shd w:fill="17365D"/>
            <w:tcMar>
              <w:top w:w="85" w:type="dxa"/>
              <w:start w:w="95" w:type="dxa"/>
              <w:bottom w:w="85" w:type="dxa"/>
              <w:end w:w="95" w:type="dxa"/>
            </w:tcMar>
            <w:vAlign w:val="center"/>
          </w:tcPr>
          <w:p>
            <w:r>
              <w:rPr>
                <w:rFonts w:ascii="Arial" w:hAnsi="Arial"/>
                <w:b/>
                <w:color w:val="FFFFFF"/>
                <w:sz w:val="16"/>
              </w:rPr>
              <w:t>Decisive difference</w:t>
            </w:r>
          </w:p>
        </w:tc>
      </w:tr>
      <w:tr>
        <w:trPr>
          <w:cantSplit/>
        </w:trPr>
        <w:tc>
          <w:tcPr>
            <w:tcW w:type="dxa" w:w="1728"/>
            <w:vAlign w:val="center"/>
            <w:tcMar>
              <w:top w:w="80" w:type="dxa"/>
              <w:start w:w="90" w:type="dxa"/>
              <w:bottom w:w="80" w:type="dxa"/>
              <w:end w:w="90" w:type="dxa"/>
            </w:tcMar>
          </w:tcPr>
          <w:p>
            <w:pPr>
              <w:spacing w:after="0" w:line="240" w:lineRule="auto"/>
            </w:pPr>
            <w:r>
              <w:rPr>
                <w:rFonts w:ascii="Arial" w:hAnsi="Arial"/>
                <w:b/>
                <w:sz w:val="15"/>
              </w:rPr>
              <w:t>Proposed JMP</w:t>
            </w:r>
          </w:p>
        </w:tc>
        <w:tc>
          <w:tcPr>
            <w:tcW w:type="dxa" w:w="3355"/>
            <w:vAlign w:val="center"/>
            <w:tcMar>
              <w:top w:w="80" w:type="dxa"/>
              <w:start w:w="90" w:type="dxa"/>
              <w:bottom w:w="80" w:type="dxa"/>
              <w:end w:w="90" w:type="dxa"/>
            </w:tcMar>
          </w:tcPr>
          <w:p>
            <w:pPr>
              <w:spacing w:after="0" w:line="240" w:lineRule="auto"/>
            </w:pPr>
            <w:r>
              <w:rPr>
                <w:rFonts w:ascii="Arial" w:hAnsi="Arial"/>
                <w:b w:val="0"/>
                <w:sz w:val="15"/>
              </w:rPr>
              <w:t>Grouped Shapley-Owen-Shorrocks; full choice, welfare distribution and inequality recomputation for every coalition</w:t>
            </w:r>
          </w:p>
        </w:tc>
        <w:tc>
          <w:tcPr>
            <w:tcW w:type="dxa" w:w="2635"/>
            <w:vAlign w:val="center"/>
            <w:tcMar>
              <w:top w:w="80" w:type="dxa"/>
              <w:start w:w="90" w:type="dxa"/>
              <w:bottom w:w="80" w:type="dxa"/>
              <w:end w:w="90" w:type="dxa"/>
            </w:tcMar>
          </w:tcPr>
          <w:p>
            <w:pPr>
              <w:spacing w:after="0" w:line="240" w:lineRule="auto"/>
            </w:pPr>
            <w:r>
              <w:rPr>
                <w:rFonts w:ascii="Arial" w:hAnsi="Arial"/>
                <w:b w:val="0"/>
                <w:sz w:val="15"/>
              </w:rPr>
              <w:t>Target object</w:t>
            </w:r>
          </w:p>
        </w:tc>
        <w:tc>
          <w:tcPr>
            <w:tcW w:type="dxa" w:w="2736"/>
            <w:vAlign w:val="center"/>
            <w:tcMar>
              <w:top w:w="80" w:type="dxa"/>
              <w:start w:w="90" w:type="dxa"/>
              <w:bottom w:w="80" w:type="dxa"/>
              <w:end w:w="90" w:type="dxa"/>
            </w:tcMar>
          </w:tcPr>
          <w:p>
            <w:pPr>
              <w:spacing w:after="0" w:line="240" w:lineRule="auto"/>
            </w:pPr>
            <w:r>
              <w:rPr>
                <w:rFonts w:ascii="Arial" w:hAnsi="Arial"/>
                <w:b w:val="0"/>
                <w:sz w:val="15"/>
              </w:rPr>
              <w:t>None</w:t>
            </w:r>
          </w:p>
        </w:tc>
      </w:tr>
      <w:tr>
        <w:trPr>
          <w:cantSplit/>
        </w:trPr>
        <w:tc>
          <w:tcPr>
            <w:tcW w:type="dxa" w:w="1728"/>
            <w:vAlign w:val="center"/>
            <w:tcMar>
              <w:top w:w="80" w:type="dxa"/>
              <w:start w:w="90" w:type="dxa"/>
              <w:bottom w:w="80" w:type="dxa"/>
              <w:end w:w="90" w:type="dxa"/>
            </w:tcMar>
            <w:shd w:fill="F4F5F7"/>
          </w:tcPr>
          <w:p>
            <w:pPr>
              <w:spacing w:after="0" w:line="240" w:lineRule="auto"/>
            </w:pPr>
            <w:r>
              <w:rPr>
                <w:rFonts w:ascii="Arial" w:hAnsi="Arial"/>
                <w:b/>
                <w:sz w:val="15"/>
              </w:rPr>
              <w:t>Mühlhan 2023</w:t>
            </w:r>
          </w:p>
        </w:tc>
        <w:tc>
          <w:tcPr>
            <w:tcW w:type="dxa" w:w="3355"/>
            <w:vAlign w:val="center"/>
            <w:tcMar>
              <w:top w:w="80" w:type="dxa"/>
              <w:start w:w="90" w:type="dxa"/>
              <w:bottom w:w="80" w:type="dxa"/>
              <w:end w:w="90" w:type="dxa"/>
            </w:tcMar>
            <w:shd w:fill="F4F5F7"/>
          </w:tcPr>
          <w:p>
            <w:pPr>
              <w:spacing w:after="0" w:line="240" w:lineRule="auto"/>
            </w:pPr>
            <w:r>
              <w:rPr>
                <w:rFonts w:ascii="Arial" w:hAnsi="Arial"/>
                <w:b w:val="0"/>
                <w:sz w:val="15"/>
              </w:rPr>
              <w:t>All 5,040 seven-factor orderings; 128 scenarios; disposable income and inequality recomputed</w:t>
            </w:r>
          </w:p>
        </w:tc>
        <w:tc>
          <w:tcPr>
            <w:tcW w:type="dxa" w:w="2635"/>
            <w:vAlign w:val="center"/>
            <w:tcMar>
              <w:top w:w="80" w:type="dxa"/>
              <w:start w:w="90" w:type="dxa"/>
              <w:bottom w:w="80" w:type="dxa"/>
              <w:end w:w="90" w:type="dxa"/>
            </w:tcMar>
            <w:shd w:fill="F4F5F7"/>
          </w:tcPr>
          <w:p>
            <w:pPr>
              <w:spacing w:after="0" w:line="240" w:lineRule="auto"/>
            </w:pPr>
            <w:r>
              <w:rPr>
                <w:rFonts w:ascii="Arial" w:hAnsi="Arial"/>
                <w:b w:val="0"/>
                <w:sz w:val="15"/>
              </w:rPr>
              <w:t>Strongest structural-decomposition overlap, including preferences, restrictions, wages and population</w:t>
            </w:r>
          </w:p>
        </w:tc>
        <w:tc>
          <w:tcPr>
            <w:tcW w:type="dxa" w:w="2736"/>
            <w:vAlign w:val="center"/>
            <w:tcMar>
              <w:top w:w="80" w:type="dxa"/>
              <w:start w:w="90" w:type="dxa"/>
              <w:bottom w:w="80" w:type="dxa"/>
              <w:end w:w="90" w:type="dxa"/>
            </w:tcMar>
            <w:shd w:fill="F4F5F7"/>
          </w:tcPr>
          <w:p>
            <w:pPr>
              <w:spacing w:after="0" w:line="240" w:lineRule="auto"/>
            </w:pPr>
            <w:r>
              <w:rPr>
                <w:rFonts w:ascii="Arial" w:hAnsi="Arial"/>
                <w:b w:val="0"/>
                <w:sz w:val="15"/>
              </w:rPr>
              <w:t>Income outcome; period swaps; binary restriction hurdle; no money-metric welfare distribution</w:t>
            </w:r>
          </w:p>
        </w:tc>
      </w:tr>
      <w:tr>
        <w:trPr>
          <w:cantSplit/>
        </w:trPr>
        <w:tc>
          <w:tcPr>
            <w:tcW w:type="dxa" w:w="1728"/>
            <w:vAlign w:val="center"/>
            <w:tcMar>
              <w:top w:w="80" w:type="dxa"/>
              <w:start w:w="90" w:type="dxa"/>
              <w:bottom w:w="80" w:type="dxa"/>
              <w:end w:w="90" w:type="dxa"/>
            </w:tcMar>
          </w:tcPr>
          <w:p>
            <w:pPr>
              <w:spacing w:after="0" w:line="240" w:lineRule="auto"/>
            </w:pPr>
            <w:r>
              <w:rPr>
                <w:rFonts w:ascii="Arial" w:hAnsi="Arial"/>
                <w:b/>
                <w:sz w:val="15"/>
              </w:rPr>
              <w:t>Creedy and Hérault 2011</w:t>
            </w:r>
          </w:p>
        </w:tc>
        <w:tc>
          <w:tcPr>
            <w:tcW w:type="dxa" w:w="3355"/>
            <w:vAlign w:val="center"/>
            <w:tcMar>
              <w:top w:w="80" w:type="dxa"/>
              <w:start w:w="90" w:type="dxa"/>
              <w:bottom w:w="80" w:type="dxa"/>
              <w:end w:w="90" w:type="dxa"/>
            </w:tcMar>
          </w:tcPr>
          <w:p>
            <w:pPr>
              <w:spacing w:after="0" w:line="240" w:lineRule="auto"/>
            </w:pPr>
            <w:r>
              <w:rPr>
                <w:rFonts w:ascii="Arial" w:hAnsi="Arial"/>
                <w:b w:val="0"/>
                <w:sz w:val="15"/>
              </w:rPr>
              <w:t>Four money-metric policy-population states; two-path average; welfare distribution and index recomputed</w:t>
            </w:r>
          </w:p>
        </w:tc>
        <w:tc>
          <w:tcPr>
            <w:tcW w:type="dxa" w:w="2635"/>
            <w:vAlign w:val="center"/>
            <w:tcMar>
              <w:top w:w="80" w:type="dxa"/>
              <w:start w:w="90" w:type="dxa"/>
              <w:bottom w:w="80" w:type="dxa"/>
              <w:end w:w="90" w:type="dxa"/>
            </w:tcMar>
          </w:tcPr>
          <w:p>
            <w:pPr>
              <w:spacing w:after="0" w:line="240" w:lineRule="auto"/>
            </w:pPr>
            <w:r>
              <w:rPr>
                <w:rFonts w:ascii="Arial" w:hAnsi="Arial"/>
                <w:b w:val="0"/>
                <w:sz w:val="15"/>
              </w:rPr>
              <w:t>Strongest welfare-outcome overlap</w:t>
            </w:r>
          </w:p>
        </w:tc>
        <w:tc>
          <w:tcPr>
            <w:tcW w:type="dxa" w:w="2736"/>
            <w:vAlign w:val="center"/>
            <w:tcMar>
              <w:top w:w="80" w:type="dxa"/>
              <w:start w:w="90" w:type="dxa"/>
              <w:bottom w:w="80" w:type="dxa"/>
              <w:end w:w="90" w:type="dxa"/>
            </w:tcMar>
          </w:tcPr>
          <w:p>
            <w:pPr>
              <w:spacing w:after="0" w:line="240" w:lineRule="auto"/>
            </w:pPr>
            <w:r>
              <w:rPr>
                <w:rFonts w:ascii="Arial" w:hAnsi="Arial"/>
                <w:b w:val="0"/>
                <w:sz w:val="15"/>
              </w:rPr>
              <w:t>Only policy and population; no RURO opportunities or P/A/B/D</w:t>
            </w:r>
          </w:p>
        </w:tc>
      </w:tr>
      <w:tr>
        <w:trPr>
          <w:cantSplit/>
        </w:trPr>
        <w:tc>
          <w:tcPr>
            <w:tcW w:type="dxa" w:w="1728"/>
            <w:vAlign w:val="center"/>
            <w:tcMar>
              <w:top w:w="80" w:type="dxa"/>
              <w:start w:w="90" w:type="dxa"/>
              <w:bottom w:w="80" w:type="dxa"/>
              <w:end w:w="90" w:type="dxa"/>
            </w:tcMar>
            <w:shd w:fill="F4F5F7"/>
          </w:tcPr>
          <w:p>
            <w:pPr>
              <w:spacing w:after="0" w:line="240" w:lineRule="auto"/>
            </w:pPr>
            <w:r>
              <w:rPr>
                <w:rFonts w:ascii="Arial" w:hAnsi="Arial"/>
                <w:b/>
                <w:sz w:val="15"/>
              </w:rPr>
              <w:t>Bargain 2012</w:t>
            </w:r>
          </w:p>
        </w:tc>
        <w:tc>
          <w:tcPr>
            <w:tcW w:type="dxa" w:w="3355"/>
            <w:vAlign w:val="center"/>
            <w:tcMar>
              <w:top w:w="80" w:type="dxa"/>
              <w:start w:w="90" w:type="dxa"/>
              <w:bottom w:w="80" w:type="dxa"/>
              <w:end w:w="90" w:type="dxa"/>
            </w:tcMar>
            <w:shd w:fill="F4F5F7"/>
          </w:tcPr>
          <w:p>
            <w:pPr>
              <w:spacing w:after="0" w:line="240" w:lineRule="auto"/>
            </w:pPr>
            <w:r>
              <w:rPr>
                <w:rFonts w:ascii="Arial" w:hAnsi="Arial"/>
                <w:b w:val="0"/>
                <w:sz w:val="15"/>
              </w:rPr>
              <w:t>Three-factor Shapley over behavioural microsimulation paths; income distribution and indices recomputed</w:t>
            </w:r>
          </w:p>
        </w:tc>
        <w:tc>
          <w:tcPr>
            <w:tcW w:type="dxa" w:w="2635"/>
            <w:vAlign w:val="center"/>
            <w:tcMar>
              <w:top w:w="80" w:type="dxa"/>
              <w:start w:w="90" w:type="dxa"/>
              <w:bottom w:w="80" w:type="dxa"/>
              <w:end w:w="90" w:type="dxa"/>
            </w:tcMar>
            <w:shd w:fill="F4F5F7"/>
          </w:tcPr>
          <w:p>
            <w:pPr>
              <w:spacing w:after="0" w:line="240" w:lineRule="auto"/>
            </w:pPr>
            <w:r>
              <w:rPr>
                <w:rFonts w:ascii="Arial" w:hAnsi="Arial"/>
                <w:b w:val="0"/>
                <w:sz w:val="15"/>
              </w:rPr>
              <w:t>Structural labour-supply plus Shapley plus distributional statistics</w:t>
            </w:r>
          </w:p>
        </w:tc>
        <w:tc>
          <w:tcPr>
            <w:tcW w:type="dxa" w:w="2736"/>
            <w:vAlign w:val="center"/>
            <w:tcMar>
              <w:top w:w="80" w:type="dxa"/>
              <w:start w:w="90" w:type="dxa"/>
              <w:bottom w:w="80" w:type="dxa"/>
              <w:end w:w="90" w:type="dxa"/>
            </w:tcMar>
            <w:shd w:fill="F4F5F7"/>
          </w:tcPr>
          <w:p>
            <w:pPr>
              <w:spacing w:after="0" w:line="240" w:lineRule="auto"/>
            </w:pPr>
            <w:r>
              <w:rPr>
                <w:rFonts w:ascii="Arial" w:hAnsi="Arial"/>
                <w:b w:val="0"/>
                <w:sz w:val="15"/>
              </w:rPr>
              <w:t>Disposable income and policy-change attribution</w:t>
            </w:r>
          </w:p>
        </w:tc>
      </w:tr>
      <w:tr>
        <w:trPr>
          <w:cantSplit/>
        </w:trPr>
        <w:tc>
          <w:tcPr>
            <w:tcW w:type="dxa" w:w="1728"/>
            <w:vAlign w:val="center"/>
            <w:tcMar>
              <w:top w:w="80" w:type="dxa"/>
              <w:start w:w="90" w:type="dxa"/>
              <w:bottom w:w="80" w:type="dxa"/>
              <w:end w:w="90" w:type="dxa"/>
            </w:tcMar>
          </w:tcPr>
          <w:p>
            <w:pPr>
              <w:spacing w:after="0" w:line="240" w:lineRule="auto"/>
            </w:pPr>
            <w:r>
              <w:rPr>
                <w:rFonts w:ascii="Arial" w:hAnsi="Arial"/>
                <w:b/>
                <w:sz w:val="15"/>
              </w:rPr>
              <w:t>Jessen 2019</w:t>
            </w:r>
          </w:p>
        </w:tc>
        <w:tc>
          <w:tcPr>
            <w:tcW w:type="dxa" w:w="3355"/>
            <w:vAlign w:val="center"/>
            <w:tcMar>
              <w:top w:w="80" w:type="dxa"/>
              <w:start w:w="90" w:type="dxa"/>
              <w:bottom w:w="80" w:type="dxa"/>
              <w:end w:w="90" w:type="dxa"/>
            </w:tcMar>
          </w:tcPr>
          <w:p>
            <w:pPr>
              <w:spacing w:after="0" w:line="240" w:lineRule="auto"/>
            </w:pPr>
            <w:r>
              <w:rPr>
                <w:rFonts w:ascii="Arial" w:hAnsi="Arial"/>
                <w:b w:val="0"/>
                <w:sz w:val="15"/>
              </w:rPr>
              <w:t>Shapley-style path averaging over policy, wages, population and behaviour</w:t>
            </w:r>
          </w:p>
        </w:tc>
        <w:tc>
          <w:tcPr>
            <w:tcW w:type="dxa" w:w="2635"/>
            <w:vAlign w:val="center"/>
            <w:tcMar>
              <w:top w:w="80" w:type="dxa"/>
              <w:start w:w="90" w:type="dxa"/>
              <w:bottom w:w="80" w:type="dxa"/>
              <w:end w:w="90" w:type="dxa"/>
            </w:tcMar>
          </w:tcPr>
          <w:p>
            <w:pPr>
              <w:spacing w:after="0" w:line="240" w:lineRule="auto"/>
            </w:pPr>
            <w:r>
              <w:rPr>
                <w:rFonts w:ascii="Arial" w:hAnsi="Arial"/>
                <w:b w:val="0"/>
                <w:sz w:val="15"/>
              </w:rPr>
              <w:t>Structural income inequality decomposition</w:t>
            </w:r>
          </w:p>
        </w:tc>
        <w:tc>
          <w:tcPr>
            <w:tcW w:type="dxa" w:w="2736"/>
            <w:vAlign w:val="center"/>
            <w:tcMar>
              <w:top w:w="80" w:type="dxa"/>
              <w:start w:w="90" w:type="dxa"/>
              <w:bottom w:w="80" w:type="dxa"/>
              <w:end w:w="90" w:type="dxa"/>
            </w:tcMar>
          </w:tcPr>
          <w:p>
            <w:pPr>
              <w:spacing w:after="0" w:line="240" w:lineRule="auto"/>
            </w:pPr>
            <w:r>
              <w:rPr>
                <w:rFonts w:ascii="Arial" w:hAnsi="Arial"/>
                <w:b w:val="0"/>
                <w:sz w:val="15"/>
              </w:rPr>
              <w:t>No money-metric welfare or access operator</w:t>
            </w:r>
          </w:p>
        </w:tc>
      </w:tr>
      <w:tr>
        <w:trPr>
          <w:cantSplit/>
        </w:trPr>
        <w:tc>
          <w:tcPr>
            <w:tcW w:type="dxa" w:w="1728"/>
            <w:vAlign w:val="center"/>
            <w:tcMar>
              <w:top w:w="80" w:type="dxa"/>
              <w:start w:w="90" w:type="dxa"/>
              <w:bottom w:w="80" w:type="dxa"/>
              <w:end w:w="90" w:type="dxa"/>
            </w:tcMar>
            <w:shd w:fill="F4F5F7"/>
          </w:tcPr>
          <w:p>
            <w:pPr>
              <w:spacing w:after="0" w:line="240" w:lineRule="auto"/>
            </w:pPr>
            <w:r>
              <w:rPr>
                <w:rFonts w:ascii="Arial" w:hAnsi="Arial"/>
                <w:b/>
                <w:sz w:val="15"/>
              </w:rPr>
              <w:t>Aaberge and Colombino 2013</w:t>
            </w:r>
          </w:p>
        </w:tc>
        <w:tc>
          <w:tcPr>
            <w:tcW w:type="dxa" w:w="3355"/>
            <w:vAlign w:val="center"/>
            <w:tcMar>
              <w:top w:w="80" w:type="dxa"/>
              <w:start w:w="90" w:type="dxa"/>
              <w:bottom w:w="80" w:type="dxa"/>
              <w:end w:w="90" w:type="dxa"/>
            </w:tcMar>
            <w:shd w:fill="F4F5F7"/>
          </w:tcPr>
          <w:p>
            <w:pPr>
              <w:spacing w:after="0" w:line="240" w:lineRule="auto"/>
            </w:pPr>
            <w:r>
              <w:rPr>
                <w:rFonts w:ascii="Arial" w:hAnsi="Arial"/>
                <w:b w:val="0"/>
                <w:sz w:val="15"/>
              </w:rPr>
              <w:t>Repeated structural simulation across candidate tax rules; welfare recomputed</w:t>
            </w:r>
          </w:p>
        </w:tc>
        <w:tc>
          <w:tcPr>
            <w:tcW w:type="dxa" w:w="2635"/>
            <w:vAlign w:val="center"/>
            <w:tcMar>
              <w:top w:w="80" w:type="dxa"/>
              <w:start w:w="90" w:type="dxa"/>
              <w:bottom w:w="80" w:type="dxa"/>
              <w:end w:w="90" w:type="dxa"/>
            </w:tcMar>
            <w:shd w:fill="F4F5F7"/>
          </w:tcPr>
          <w:p>
            <w:pPr>
              <w:spacing w:after="0" w:line="240" w:lineRule="auto"/>
            </w:pPr>
            <w:r>
              <w:rPr>
                <w:rFonts w:ascii="Arial" w:hAnsi="Arial"/>
                <w:b w:val="0"/>
                <w:sz w:val="15"/>
              </w:rPr>
              <w:t>RURO, money-metric utility, inequality aversion, opportunities</w:t>
            </w:r>
          </w:p>
        </w:tc>
        <w:tc>
          <w:tcPr>
            <w:tcW w:type="dxa" w:w="2736"/>
            <w:vAlign w:val="center"/>
            <w:tcMar>
              <w:top w:w="80" w:type="dxa"/>
              <w:start w:w="90" w:type="dxa"/>
              <w:bottom w:w="80" w:type="dxa"/>
              <w:end w:w="90" w:type="dxa"/>
            </w:tcMar>
            <w:shd w:fill="F4F5F7"/>
          </w:tcPr>
          <w:p>
            <w:pPr>
              <w:spacing w:after="0" w:line="240" w:lineRule="auto"/>
            </w:pPr>
            <w:r>
              <w:rPr>
                <w:rFonts w:ascii="Arial" w:hAnsi="Arial"/>
                <w:b w:val="0"/>
                <w:sz w:val="15"/>
              </w:rPr>
              <w:t>Optimization and policy ranking, not factor attribution</w:t>
            </w:r>
          </w:p>
        </w:tc>
      </w:tr>
      <w:tr>
        <w:trPr>
          <w:cantSplit/>
        </w:trPr>
        <w:tc>
          <w:tcPr>
            <w:tcW w:type="dxa" w:w="1728"/>
            <w:vAlign w:val="center"/>
            <w:tcMar>
              <w:top w:w="80" w:type="dxa"/>
              <w:start w:w="90" w:type="dxa"/>
              <w:bottom w:w="80" w:type="dxa"/>
              <w:end w:w="90" w:type="dxa"/>
            </w:tcMar>
          </w:tcPr>
          <w:p>
            <w:pPr>
              <w:spacing w:after="0" w:line="240" w:lineRule="auto"/>
            </w:pPr>
            <w:r>
              <w:rPr>
                <w:rFonts w:ascii="Arial" w:hAnsi="Arial"/>
                <w:b/>
                <w:sz w:val="15"/>
              </w:rPr>
              <w:t>Jia and Thoresen 2021</w:t>
            </w:r>
          </w:p>
        </w:tc>
        <w:tc>
          <w:tcPr>
            <w:tcW w:type="dxa" w:w="3355"/>
            <w:vAlign w:val="center"/>
            <w:tcMar>
              <w:top w:w="80" w:type="dxa"/>
              <w:start w:w="90" w:type="dxa"/>
              <w:bottom w:w="80" w:type="dxa"/>
              <w:end w:w="90" w:type="dxa"/>
            </w:tcMar>
          </w:tcPr>
          <w:p>
            <w:pPr>
              <w:spacing w:after="0" w:line="240" w:lineRule="auto"/>
            </w:pPr>
            <w:r>
              <w:rPr>
                <w:rFonts w:ascii="Arial" w:hAnsi="Arial"/>
                <w:b w:val="0"/>
                <w:sz w:val="15"/>
              </w:rPr>
              <w:t>McFadden-style welfare simulation before and after tax reform</w:t>
            </w:r>
          </w:p>
        </w:tc>
        <w:tc>
          <w:tcPr>
            <w:tcW w:type="dxa" w:w="2635"/>
            <w:vAlign w:val="center"/>
            <w:tcMar>
              <w:top w:w="80" w:type="dxa"/>
              <w:start w:w="90" w:type="dxa"/>
              <w:bottom w:w="80" w:type="dxa"/>
              <w:end w:w="90" w:type="dxa"/>
            </w:tcMar>
          </w:tcPr>
          <w:p>
            <w:pPr>
              <w:spacing w:after="0" w:line="240" w:lineRule="auto"/>
            </w:pPr>
            <w:r>
              <w:rPr>
                <w:rFonts w:ascii="Arial" w:hAnsi="Arial"/>
                <w:b w:val="0"/>
                <w:sz w:val="15"/>
              </w:rPr>
              <w:t>Opportunity-sensitive RURO money metric</w:t>
            </w:r>
          </w:p>
        </w:tc>
        <w:tc>
          <w:tcPr>
            <w:tcW w:type="dxa" w:w="2736"/>
            <w:vAlign w:val="center"/>
            <w:tcMar>
              <w:top w:w="80" w:type="dxa"/>
              <w:start w:w="90" w:type="dxa"/>
              <w:bottom w:w="80" w:type="dxa"/>
              <w:end w:w="90" w:type="dxa"/>
            </w:tcMar>
          </w:tcPr>
          <w:p>
            <w:pPr>
              <w:spacing w:after="0" w:line="240" w:lineRule="auto"/>
            </w:pPr>
            <w:r>
              <w:rPr>
                <w:rFonts w:ascii="Arial" w:hAnsi="Arial"/>
                <w:b w:val="0"/>
                <w:sz w:val="15"/>
              </w:rPr>
              <w:t>Distribution of welfare changes, not inequality levels or Shapley coalitions</w:t>
            </w:r>
          </w:p>
        </w:tc>
      </w:tr>
      <w:tr>
        <w:trPr>
          <w:cantSplit/>
        </w:trPr>
        <w:tc>
          <w:tcPr>
            <w:tcW w:type="dxa" w:w="1728"/>
            <w:vAlign w:val="center"/>
            <w:tcMar>
              <w:top w:w="80" w:type="dxa"/>
              <w:start w:w="90" w:type="dxa"/>
              <w:bottom w:w="80" w:type="dxa"/>
              <w:end w:w="90" w:type="dxa"/>
            </w:tcMar>
            <w:shd w:fill="F4F5F7"/>
          </w:tcPr>
          <w:p>
            <w:pPr>
              <w:spacing w:after="0" w:line="240" w:lineRule="auto"/>
            </w:pPr>
            <w:r>
              <w:rPr>
                <w:rFonts w:ascii="Arial" w:hAnsi="Arial"/>
                <w:b/>
                <w:sz w:val="15"/>
              </w:rPr>
              <w:t>Jacquet Jia and Thoresen 2026</w:t>
            </w:r>
          </w:p>
        </w:tc>
        <w:tc>
          <w:tcPr>
            <w:tcW w:type="dxa" w:w="3355"/>
            <w:vAlign w:val="center"/>
            <w:tcMar>
              <w:top w:w="80" w:type="dxa"/>
              <w:start w:w="90" w:type="dxa"/>
              <w:bottom w:w="80" w:type="dxa"/>
              <w:end w:w="90" w:type="dxa"/>
            </w:tcMar>
            <w:shd w:fill="F4F5F7"/>
          </w:tcPr>
          <w:p>
            <w:pPr>
              <w:spacing w:after="0" w:line="240" w:lineRule="auto"/>
            </w:pPr>
            <w:r>
              <w:rPr>
                <w:rFonts w:ascii="Arial" w:hAnsi="Arial"/>
                <w:b w:val="0"/>
                <w:sz w:val="15"/>
              </w:rPr>
              <w:t>Two welfare metrics simulated for a reform</w:t>
            </w:r>
          </w:p>
        </w:tc>
        <w:tc>
          <w:tcPr>
            <w:tcW w:type="dxa" w:w="2635"/>
            <w:vAlign w:val="center"/>
            <w:tcMar>
              <w:top w:w="80" w:type="dxa"/>
              <w:start w:w="90" w:type="dxa"/>
              <w:bottom w:w="80" w:type="dxa"/>
              <w:end w:w="90" w:type="dxa"/>
            </w:tcMar>
            <w:shd w:fill="F4F5F7"/>
          </w:tcPr>
          <w:p>
            <w:pPr>
              <w:spacing w:after="0" w:line="240" w:lineRule="auto"/>
            </w:pPr>
            <w:r>
              <w:rPr>
                <w:rFonts w:ascii="Arial" w:hAnsi="Arial"/>
                <w:b w:val="0"/>
                <w:sz w:val="15"/>
              </w:rPr>
              <w:t>Explicit preferences-versus-circumstances welfare comparison</w:t>
            </w:r>
          </w:p>
        </w:tc>
        <w:tc>
          <w:tcPr>
            <w:tcW w:type="dxa" w:w="2736"/>
            <w:vAlign w:val="center"/>
            <w:tcMar>
              <w:top w:w="80" w:type="dxa"/>
              <w:start w:w="90" w:type="dxa"/>
              <w:bottom w:w="80" w:type="dxa"/>
              <w:end w:w="90" w:type="dxa"/>
            </w:tcMar>
            <w:shd w:fill="F4F5F7"/>
          </w:tcPr>
          <w:p>
            <w:pPr>
              <w:spacing w:after="0" w:line="240" w:lineRule="auto"/>
            </w:pPr>
            <w:r>
              <w:rPr>
                <w:rFonts w:ascii="Arial" w:hAnsi="Arial"/>
                <w:b w:val="0"/>
                <w:sz w:val="15"/>
              </w:rPr>
              <w:t>No A/B/D split; no all-coalition inequality attribution</w:t>
            </w:r>
          </w:p>
        </w:tc>
      </w:tr>
      <w:tr>
        <w:trPr>
          <w:cantSplit/>
        </w:trPr>
        <w:tc>
          <w:tcPr>
            <w:tcW w:type="dxa" w:w="1728"/>
            <w:vAlign w:val="center"/>
            <w:tcMar>
              <w:top w:w="80" w:type="dxa"/>
              <w:start w:w="90" w:type="dxa"/>
              <w:bottom w:w="80" w:type="dxa"/>
              <w:end w:w="90" w:type="dxa"/>
            </w:tcMar>
          </w:tcPr>
          <w:p>
            <w:pPr>
              <w:spacing w:after="0" w:line="240" w:lineRule="auto"/>
            </w:pPr>
            <w:r>
              <w:rPr>
                <w:rFonts w:ascii="Arial" w:hAnsi="Arial"/>
                <w:b/>
                <w:sz w:val="15"/>
              </w:rPr>
              <w:t>Decoster and Haan 2015</w:t>
            </w:r>
          </w:p>
        </w:tc>
        <w:tc>
          <w:tcPr>
            <w:tcW w:type="dxa" w:w="3355"/>
            <w:vAlign w:val="center"/>
            <w:tcMar>
              <w:top w:w="80" w:type="dxa"/>
              <w:start w:w="90" w:type="dxa"/>
              <w:bottom w:w="80" w:type="dxa"/>
              <w:end w:w="90" w:type="dxa"/>
            </w:tcMar>
          </w:tcPr>
          <w:p>
            <w:pPr>
              <w:spacing w:after="0" w:line="240" w:lineRule="auto"/>
            </w:pPr>
            <w:r>
              <w:rPr>
                <w:rFonts w:ascii="Arial" w:hAnsi="Arial"/>
                <w:b w:val="0"/>
                <w:sz w:val="15"/>
              </w:rPr>
              <w:t>Alternative welfare orderings recomputed under a hypothetical reform</w:t>
            </w:r>
          </w:p>
        </w:tc>
        <w:tc>
          <w:tcPr>
            <w:tcW w:type="dxa" w:w="2635"/>
            <w:vAlign w:val="center"/>
            <w:tcMar>
              <w:top w:w="80" w:type="dxa"/>
              <w:start w:w="90" w:type="dxa"/>
              <w:bottom w:w="80" w:type="dxa"/>
              <w:end w:w="90" w:type="dxa"/>
            </w:tcMar>
          </w:tcPr>
          <w:p>
            <w:pPr>
              <w:spacing w:after="0" w:line="240" w:lineRule="auto"/>
            </w:pPr>
            <w:r>
              <w:rPr>
                <w:rFonts w:ascii="Arial" w:hAnsi="Arial"/>
                <w:b w:val="0"/>
                <w:sz w:val="15"/>
              </w:rPr>
              <w:t>Estimated preference heterogeneity and comparable welfare</w:t>
            </w:r>
          </w:p>
        </w:tc>
        <w:tc>
          <w:tcPr>
            <w:tcW w:type="dxa" w:w="2736"/>
            <w:vAlign w:val="center"/>
            <w:tcMar>
              <w:top w:w="80" w:type="dxa"/>
              <w:start w:w="90" w:type="dxa"/>
              <w:bottom w:w="80" w:type="dxa"/>
              <w:end w:w="90" w:type="dxa"/>
            </w:tcMar>
          </w:tcPr>
          <w:p>
            <w:pPr>
              <w:spacing w:after="0" w:line="240" w:lineRule="auto"/>
            </w:pPr>
            <w:r>
              <w:rPr>
                <w:rFonts w:ascii="Arial" w:hAnsi="Arial"/>
                <w:b w:val="0"/>
                <w:sz w:val="15"/>
              </w:rPr>
              <w:t>No latent-job access distribution and no decomposition</w:t>
            </w:r>
          </w:p>
        </w:tc>
      </w:tr>
      <w:tr>
        <w:trPr>
          <w:cantSplit/>
        </w:trPr>
        <w:tc>
          <w:tcPr>
            <w:tcW w:type="dxa" w:w="1728"/>
            <w:vAlign w:val="center"/>
            <w:tcMar>
              <w:top w:w="80" w:type="dxa"/>
              <w:start w:w="90" w:type="dxa"/>
              <w:bottom w:w="80" w:type="dxa"/>
              <w:end w:w="90" w:type="dxa"/>
            </w:tcMar>
            <w:shd w:fill="F4F5F7"/>
          </w:tcPr>
          <w:p>
            <w:pPr>
              <w:spacing w:after="0" w:line="240" w:lineRule="auto"/>
            </w:pPr>
            <w:r>
              <w:rPr>
                <w:rFonts w:ascii="Arial" w:hAnsi="Arial"/>
                <w:b/>
                <w:sz w:val="15"/>
              </w:rPr>
              <w:t>Ooghe Schokkaert and Serruys 2025</w:t>
            </w:r>
          </w:p>
        </w:tc>
        <w:tc>
          <w:tcPr>
            <w:tcW w:type="dxa" w:w="3355"/>
            <w:vAlign w:val="center"/>
            <w:tcMar>
              <w:top w:w="80" w:type="dxa"/>
              <w:start w:w="90" w:type="dxa"/>
              <w:bottom w:w="80" w:type="dxa"/>
              <w:end w:w="90" w:type="dxa"/>
            </w:tcMar>
            <w:shd w:fill="F4F5F7"/>
          </w:tcPr>
          <w:p>
            <w:pPr>
              <w:spacing w:after="0" w:line="240" w:lineRule="auto"/>
            </w:pPr>
            <w:r>
              <w:rPr>
                <w:rFonts w:ascii="Arial" w:hAnsi="Arial"/>
                <w:b w:val="0"/>
                <w:sz w:val="15"/>
              </w:rPr>
              <w:t>Analytical three-term social-welfare identity and reform evaluation</w:t>
            </w:r>
          </w:p>
        </w:tc>
        <w:tc>
          <w:tcPr>
            <w:tcW w:type="dxa" w:w="2635"/>
            <w:vAlign w:val="center"/>
            <w:tcMar>
              <w:top w:w="80" w:type="dxa"/>
              <w:start w:w="90" w:type="dxa"/>
              <w:bottom w:w="80" w:type="dxa"/>
              <w:end w:w="90" w:type="dxa"/>
            </w:tcMar>
            <w:shd w:fill="F4F5F7"/>
          </w:tcPr>
          <w:p>
            <w:pPr>
              <w:spacing w:after="0" w:line="240" w:lineRule="auto"/>
            </w:pPr>
            <w:r>
              <w:rPr>
                <w:rFonts w:ascii="Arial" w:hAnsi="Arial"/>
                <w:b w:val="0"/>
                <w:sz w:val="15"/>
              </w:rPr>
              <w:t>Money metric, preferences and fairness</w:t>
            </w:r>
          </w:p>
        </w:tc>
        <w:tc>
          <w:tcPr>
            <w:tcW w:type="dxa" w:w="2736"/>
            <w:vAlign w:val="center"/>
            <w:tcMar>
              <w:top w:w="80" w:type="dxa"/>
              <w:start w:w="90" w:type="dxa"/>
              <w:bottom w:w="80" w:type="dxa"/>
              <w:end w:w="90" w:type="dxa"/>
            </w:tcMar>
            <w:shd w:fill="F4F5F7"/>
          </w:tcPr>
          <w:p>
            <w:pPr>
              <w:spacing w:after="0" w:line="240" w:lineRule="auto"/>
            </w:pPr>
            <w:r>
              <w:rPr>
                <w:rFonts w:ascii="Arial" w:hAnsi="Arial"/>
                <w:b w:val="0"/>
                <w:sz w:val="15"/>
              </w:rPr>
              <w:t>No RURO estimation, coalition game, or empirical P/A/B/D shares</w:t>
            </w:r>
          </w:p>
        </w:tc>
      </w:tr>
      <w:tr>
        <w:trPr>
          <w:cantSplit/>
        </w:trPr>
        <w:tc>
          <w:tcPr>
            <w:tcW w:type="dxa" w:w="1728"/>
            <w:vAlign w:val="center"/>
            <w:tcMar>
              <w:top w:w="80" w:type="dxa"/>
              <w:start w:w="90" w:type="dxa"/>
              <w:bottom w:w="80" w:type="dxa"/>
              <w:end w:w="90" w:type="dxa"/>
            </w:tcMar>
          </w:tcPr>
          <w:p>
            <w:pPr>
              <w:spacing w:after="0" w:line="240" w:lineRule="auto"/>
            </w:pPr>
            <w:r>
              <w:rPr>
                <w:rFonts w:ascii="Arial" w:hAnsi="Arial"/>
                <w:b/>
                <w:sz w:val="15"/>
              </w:rPr>
              <w:t>Piacquadio 2026</w:t>
            </w:r>
          </w:p>
        </w:tc>
        <w:tc>
          <w:tcPr>
            <w:tcW w:type="dxa" w:w="3355"/>
            <w:vAlign w:val="center"/>
            <w:tcMar>
              <w:top w:w="80" w:type="dxa"/>
              <w:start w:w="90" w:type="dxa"/>
              <w:bottom w:w="80" w:type="dxa"/>
              <w:end w:w="90" w:type="dxa"/>
            </w:tcMar>
          </w:tcPr>
          <w:p>
            <w:pPr>
              <w:spacing w:after="0" w:line="240" w:lineRule="auto"/>
            </w:pPr>
            <w:r>
              <w:rPr>
                <w:rFonts w:ascii="Arial" w:hAnsi="Arial"/>
                <w:b w:val="0"/>
                <w:sz w:val="15"/>
              </w:rPr>
              <w:t>Axiomatic deprivation aggregation; empirical illustration</w:t>
            </w:r>
          </w:p>
        </w:tc>
        <w:tc>
          <w:tcPr>
            <w:tcW w:type="dxa" w:w="2635"/>
            <w:vAlign w:val="center"/>
            <w:tcMar>
              <w:top w:w="80" w:type="dxa"/>
              <w:start w:w="90" w:type="dxa"/>
              <w:bottom w:w="80" w:type="dxa"/>
              <w:end w:w="90" w:type="dxa"/>
            </w:tcMar>
          </w:tcPr>
          <w:p>
            <w:pPr>
              <w:spacing w:after="0" w:line="240" w:lineRule="auto"/>
            </w:pPr>
            <w:r>
              <w:rPr>
                <w:rFonts w:ascii="Arial" w:hAnsi="Arial"/>
                <w:b w:val="0"/>
                <w:sz w:val="15"/>
              </w:rPr>
              <w:t>Opportunity-sensitive non-paternalistic welfare and needs</w:t>
            </w:r>
          </w:p>
        </w:tc>
        <w:tc>
          <w:tcPr>
            <w:tcW w:type="dxa" w:w="2736"/>
            <w:vAlign w:val="center"/>
            <w:tcMar>
              <w:top w:w="80" w:type="dxa"/>
              <w:start w:w="90" w:type="dxa"/>
              <w:bottom w:w="80" w:type="dxa"/>
              <w:end w:w="90" w:type="dxa"/>
            </w:tcMar>
          </w:tcPr>
          <w:p>
            <w:pPr>
              <w:spacing w:after="0" w:line="240" w:lineRule="auto"/>
            </w:pPr>
            <w:r>
              <w:rPr>
                <w:rFonts w:ascii="Arial" w:hAnsi="Arial"/>
                <w:b w:val="0"/>
                <w:sz w:val="15"/>
              </w:rPr>
              <w:t>No structural counterfactual attribution or Shapley</w:t>
            </w:r>
          </w:p>
        </w:tc>
      </w:tr>
      <w:tr>
        <w:trPr>
          <w:cantSplit/>
        </w:trPr>
        <w:tc>
          <w:tcPr>
            <w:tcW w:type="dxa" w:w="1728"/>
            <w:vAlign w:val="center"/>
            <w:tcMar>
              <w:top w:w="80" w:type="dxa"/>
              <w:start w:w="90" w:type="dxa"/>
              <w:bottom w:w="80" w:type="dxa"/>
              <w:end w:w="90" w:type="dxa"/>
            </w:tcMar>
            <w:shd w:fill="F4F5F7"/>
          </w:tcPr>
          <w:p>
            <w:pPr>
              <w:spacing w:after="0" w:line="240" w:lineRule="auto"/>
            </w:pPr>
            <w:r>
              <w:rPr>
                <w:rFonts w:ascii="Arial" w:hAnsi="Arial"/>
                <w:b/>
                <w:sz w:val="15"/>
              </w:rPr>
              <w:t>Bourguignon Ferreira and Leite 2008</w:t>
            </w:r>
          </w:p>
        </w:tc>
        <w:tc>
          <w:tcPr>
            <w:tcW w:type="dxa" w:w="3355"/>
            <w:vAlign w:val="center"/>
            <w:tcMar>
              <w:top w:w="80" w:type="dxa"/>
              <w:start w:w="90" w:type="dxa"/>
              <w:bottom w:w="80" w:type="dxa"/>
              <w:end w:w="90" w:type="dxa"/>
            </w:tcMar>
            <w:shd w:fill="F4F5F7"/>
          </w:tcPr>
          <w:p>
            <w:pPr>
              <w:spacing w:after="0" w:line="240" w:lineRule="auto"/>
            </w:pPr>
            <w:r>
              <w:rPr>
                <w:rFonts w:ascii="Arial" w:hAnsi="Arial"/>
                <w:b w:val="0"/>
                <w:sz w:val="15"/>
              </w:rPr>
              <w:t>Counterfactual parameter replacement; selected paths rather than full Shapley average</w:t>
            </w:r>
          </w:p>
        </w:tc>
        <w:tc>
          <w:tcPr>
            <w:tcW w:type="dxa" w:w="2635"/>
            <w:vAlign w:val="center"/>
            <w:tcMar>
              <w:top w:w="80" w:type="dxa"/>
              <w:start w:w="90" w:type="dxa"/>
              <w:bottom w:w="80" w:type="dxa"/>
              <w:end w:w="90" w:type="dxa"/>
            </w:tcMar>
            <w:shd w:fill="F4F5F7"/>
          </w:tcPr>
          <w:p>
            <w:pPr>
              <w:spacing w:after="0" w:line="240" w:lineRule="auto"/>
            </w:pPr>
            <w:r>
              <w:rPr>
                <w:rFonts w:ascii="Arial" w:hAnsi="Arial"/>
                <w:b w:val="0"/>
                <w:sz w:val="15"/>
              </w:rPr>
              <w:t>Structural factor swapping and distributional recomputation</w:t>
            </w:r>
          </w:p>
        </w:tc>
        <w:tc>
          <w:tcPr>
            <w:tcW w:type="dxa" w:w="2736"/>
            <w:vAlign w:val="center"/>
            <w:tcMar>
              <w:top w:w="80" w:type="dxa"/>
              <w:start w:w="90" w:type="dxa"/>
              <w:bottom w:w="80" w:type="dxa"/>
              <w:end w:w="90" w:type="dxa"/>
            </w:tcMar>
            <w:shd w:fill="F4F5F7"/>
          </w:tcPr>
          <w:p>
            <w:pPr>
              <w:spacing w:after="0" w:line="240" w:lineRule="auto"/>
            </w:pPr>
            <w:r>
              <w:rPr>
                <w:rFonts w:ascii="Arial" w:hAnsi="Arial"/>
                <w:b w:val="0"/>
                <w:sz w:val="15"/>
              </w:rPr>
              <w:t>Income-generation model and income outcome; no utility or opportunity-sensitive welfare</w:t>
            </w:r>
          </w:p>
        </w:tc>
      </w:tr>
    </w:tbl>
    <w:p>
      <w:pPr>
        <w:spacing w:after="0"/>
      </w:pPr>
    </w:p>
    <w:p>
      <w:r>
        <w:rPr>
          <w:rFonts w:ascii="Arial" w:hAnsi="Arial"/>
        </w:rPr>
        <w:br w:type="page"/>
      </w:r>
    </w:p>
    <w:p>
      <w:pPr>
        <w:pStyle w:val="Heading1"/>
      </w:pPr>
      <w:r>
        <w:rPr>
          <w:rFonts w:ascii="Arial" w:hAnsi="Arial"/>
        </w:rPr>
        <w:t>Paper by paper rulings</w:t>
      </w:r>
    </w:p>
    <w:p>
      <w:pPr>
        <w:pStyle w:val="Heading2"/>
      </w:pPr>
      <w:r>
        <w:rPr>
          <w:rFonts w:ascii="Arial" w:hAnsi="Arial"/>
        </w:rPr>
        <w:t>Mühlhan 2023</w:t>
      </w:r>
    </w:p>
    <w:p>
      <w:r>
        <w:rPr>
          <w:rFonts w:ascii="Arial" w:hAnsi="Arial"/>
          <w:i/>
          <w:color w:val="666666"/>
          <w:sz w:val="19"/>
        </w:rPr>
        <w:t>Closest overall precedent</w:t>
      </w:r>
    </w:p>
    <w:p>
      <w:pPr>
        <w:spacing w:after="60"/>
      </w:pPr>
      <w:r>
        <w:rPr>
          <w:rFonts w:ascii="Arial" w:hAnsi="Arial"/>
          <w:b/>
        </w:rPr>
        <w:t xml:space="preserve">Outcome. </w:t>
      </w:r>
      <w:r>
        <w:rPr>
          <w:rFonts w:ascii="Arial" w:hAnsi="Arial"/>
        </w:rPr>
        <w:t>Gross and disposable household income inequality.</w:t>
      </w:r>
    </w:p>
    <w:p>
      <w:pPr>
        <w:spacing w:after="60"/>
      </w:pPr>
      <w:r>
        <w:rPr>
          <w:rFonts w:ascii="Arial" w:hAnsi="Arial"/>
          <w:b/>
        </w:rPr>
        <w:t xml:space="preserve">Model. </w:t>
      </w:r>
      <w:r>
        <w:rPr>
          <w:rFonts w:ascii="Arial" w:hAnsi="Arial"/>
        </w:rPr>
        <w:t>Discrete-choice labour supply with a double hurdle separating desired work from involuntary unemployment.</w:t>
      </w:r>
    </w:p>
    <w:p>
      <w:pPr>
        <w:spacing w:after="60"/>
      </w:pPr>
      <w:r>
        <w:rPr>
          <w:rFonts w:ascii="Arial" w:hAnsi="Arial"/>
          <w:b/>
        </w:rPr>
        <w:t xml:space="preserve">Factors. </w:t>
      </w:r>
      <w:r>
        <w:rPr>
          <w:rFonts w:ascii="Arial" w:hAnsi="Arial"/>
        </w:rPr>
        <w:t>Policy, wages, preferences, restrictions, population, growth and induced behavioural effects.</w:t>
      </w:r>
    </w:p>
    <w:p>
      <w:pPr>
        <w:spacing w:after="60"/>
      </w:pPr>
      <w:r>
        <w:rPr>
          <w:rFonts w:ascii="Arial" w:hAnsi="Arial"/>
          <w:b/>
        </w:rPr>
        <w:t xml:space="preserve">Algorithm. </w:t>
      </w:r>
      <w:r>
        <w:rPr>
          <w:rFonts w:ascii="Arial" w:hAnsi="Arial"/>
        </w:rPr>
        <w:t>All-permutation Shorrocks-Shapley averaging; 128 scenarios and 5,040 decompositions.</w:t>
      </w:r>
    </w:p>
    <w:p>
      <w:pPr>
        <w:spacing w:after="60"/>
      </w:pPr>
      <w:r>
        <w:rPr>
          <w:rFonts w:ascii="Arial" w:hAnsi="Arial"/>
          <w:b/>
        </w:rPr>
        <w:t xml:space="preserve">Recomputation. </w:t>
      </w:r>
      <w:r>
        <w:rPr>
          <w:rFonts w:ascii="Arial" w:hAnsi="Arial"/>
        </w:rPr>
        <w:t>Yes for employment, household income and inequality, but not for household money-metric welfare.</w:t>
      </w:r>
    </w:p>
    <w:p>
      <w:pPr>
        <w:spacing w:after="60"/>
      </w:pPr>
      <w:r>
        <w:rPr>
          <w:rFonts w:ascii="Arial" w:hAnsi="Arial"/>
          <w:b/>
        </w:rPr>
        <w:t xml:space="preserve">Overlap. </w:t>
      </w:r>
      <w:r>
        <w:rPr>
          <w:rFonts w:ascii="Arial" w:hAnsi="Arial"/>
        </w:rPr>
        <w:t>Very high on structural decomposition mechanics and the preference-access-wage-resource architecture.</w:t>
      </w:r>
    </w:p>
    <w:p>
      <w:pPr>
        <w:spacing w:after="60"/>
      </w:pPr>
      <w:r>
        <w:rPr>
          <w:rFonts w:ascii="Arial" w:hAnsi="Arial"/>
          <w:b/>
        </w:rPr>
        <w:t xml:space="preserve">Difference. </w:t>
      </w:r>
      <w:r>
        <w:rPr>
          <w:rFonts w:ascii="Arial" w:hAnsi="Arial"/>
        </w:rPr>
        <w:t>The outcome is income, the restriction technology is narrower than household-specific latent-job distributions, and factors are period changes rather than equalization operators.</w:t>
      </w:r>
    </w:p>
    <w:p>
      <w:pPr>
        <w:pStyle w:val="Heading2"/>
      </w:pPr>
      <w:r>
        <w:rPr>
          <w:rFonts w:ascii="Arial" w:hAnsi="Arial"/>
        </w:rPr>
        <w:t>Creedy and Hérault 2011</w:t>
      </w:r>
    </w:p>
    <w:p>
      <w:r>
        <w:rPr>
          <w:rFonts w:ascii="Arial" w:hAnsi="Arial"/>
          <w:i/>
          <w:color w:val="666666"/>
          <w:sz w:val="19"/>
        </w:rPr>
        <w:t>Closest welfare-decomposition precedent</w:t>
      </w:r>
    </w:p>
    <w:p>
      <w:pPr>
        <w:spacing w:after="60"/>
      </w:pPr>
      <w:r>
        <w:rPr>
          <w:rFonts w:ascii="Arial" w:hAnsi="Arial"/>
          <w:b/>
        </w:rPr>
        <w:t xml:space="preserve">Outcome. </w:t>
      </w:r>
      <w:r>
        <w:rPr>
          <w:rFonts w:ascii="Arial" w:hAnsi="Arial"/>
        </w:rPr>
        <w:t>Changes in inequality and social welfare, including an Atkinson index over money-metric utility.</w:t>
      </w:r>
    </w:p>
    <w:p>
      <w:pPr>
        <w:spacing w:after="60"/>
      </w:pPr>
      <w:r>
        <w:rPr>
          <w:rFonts w:ascii="Arial" w:hAnsi="Arial"/>
          <w:b/>
        </w:rPr>
        <w:t xml:space="preserve">Model. </w:t>
      </w:r>
      <w:r>
        <w:rPr>
          <w:rFonts w:ascii="Arial" w:hAnsi="Arial"/>
        </w:rPr>
        <w:t>Discrete-hours random-utility labour supply.</w:t>
      </w:r>
    </w:p>
    <w:p>
      <w:pPr>
        <w:spacing w:after="60"/>
      </w:pPr>
      <w:r>
        <w:rPr>
          <w:rFonts w:ascii="Arial" w:hAnsi="Arial"/>
          <w:b/>
        </w:rPr>
        <w:t xml:space="preserve">Factors. </w:t>
      </w:r>
      <w:r>
        <w:rPr>
          <w:rFonts w:ascii="Arial" w:hAnsi="Arial"/>
        </w:rPr>
        <w:t>Tax policy and population in the money-metric exercise.</w:t>
      </w:r>
    </w:p>
    <w:p>
      <w:pPr>
        <w:spacing w:after="60"/>
      </w:pPr>
      <w:r>
        <w:rPr>
          <w:rFonts w:ascii="Arial" w:hAnsi="Arial"/>
          <w:b/>
        </w:rPr>
        <w:t xml:space="preserve">Algorithm. </w:t>
      </w:r>
      <w:r>
        <w:rPr>
          <w:rFonts w:ascii="Arial" w:hAnsi="Arial"/>
        </w:rPr>
        <w:t>Average of the two possible two-factor paths, equivalent to the two-player Shapley value.</w:t>
      </w:r>
    </w:p>
    <w:p>
      <w:pPr>
        <w:spacing w:after="60"/>
      </w:pPr>
      <w:r>
        <w:rPr>
          <w:rFonts w:ascii="Arial" w:hAnsi="Arial"/>
          <w:b/>
        </w:rPr>
        <w:t xml:space="preserve">Recomputation. </w:t>
      </w:r>
      <w:r>
        <w:rPr>
          <w:rFonts w:ascii="Arial" w:hAnsi="Arial"/>
        </w:rPr>
        <w:t>Yes. Money-metric utility and the distributional statistic are calculated for each policy-population state.</w:t>
      </w:r>
    </w:p>
    <w:p>
      <w:pPr>
        <w:spacing w:after="60"/>
      </w:pPr>
      <w:r>
        <w:rPr>
          <w:rFonts w:ascii="Arial" w:hAnsi="Arial"/>
          <w:b/>
        </w:rPr>
        <w:t xml:space="preserve">Overlap. </w:t>
      </w:r>
      <w:r>
        <w:rPr>
          <w:rFonts w:ascii="Arial" w:hAnsi="Arial"/>
        </w:rPr>
        <w:t>Direct precedent for structural labour supply plus decomposition of money-metric welfare inequality.</w:t>
      </w:r>
    </w:p>
    <w:p>
      <w:pPr>
        <w:spacing w:after="60"/>
      </w:pPr>
      <w:r>
        <w:rPr>
          <w:rFonts w:ascii="Arial" w:hAnsi="Arial"/>
          <w:b/>
        </w:rPr>
        <w:t xml:space="preserve">Difference. </w:t>
      </w:r>
      <w:r>
        <w:rPr>
          <w:rFonts w:ascii="Arial" w:hAnsi="Arial"/>
        </w:rPr>
        <w:t>No latent opportunities, no P/A/B/D equalization, no grouped game, and no separable behavioural component in their money-metric setup.</w:t>
      </w:r>
    </w:p>
    <w:p>
      <w:pPr>
        <w:pStyle w:val="Heading2"/>
      </w:pPr>
      <w:r>
        <w:rPr>
          <w:rFonts w:ascii="Arial" w:hAnsi="Arial"/>
        </w:rPr>
        <w:t>Bargain 2012</w:t>
      </w:r>
    </w:p>
    <w:p>
      <w:r>
        <w:rPr>
          <w:rFonts w:ascii="Arial" w:hAnsi="Arial"/>
          <w:i/>
          <w:color w:val="666666"/>
          <w:sz w:val="19"/>
        </w:rPr>
        <w:t>Closest early behavioural Shapley precedent</w:t>
      </w:r>
    </w:p>
    <w:p>
      <w:pPr>
        <w:spacing w:after="60"/>
      </w:pPr>
      <w:r>
        <w:rPr>
          <w:rFonts w:ascii="Arial" w:hAnsi="Arial"/>
          <w:b/>
        </w:rPr>
        <w:t xml:space="preserve">Outcome. </w:t>
      </w:r>
      <w:r>
        <w:rPr>
          <w:rFonts w:ascii="Arial" w:hAnsi="Arial"/>
        </w:rPr>
        <w:t>Equivalized disposable-income poverty and inequality.</w:t>
      </w:r>
    </w:p>
    <w:p>
      <w:pPr>
        <w:spacing w:after="60"/>
      </w:pPr>
      <w:r>
        <w:rPr>
          <w:rFonts w:ascii="Arial" w:hAnsi="Arial"/>
          <w:b/>
        </w:rPr>
        <w:t xml:space="preserve">Model. </w:t>
      </w:r>
      <w:r>
        <w:rPr>
          <w:rFonts w:ascii="Arial" w:hAnsi="Arial"/>
        </w:rPr>
        <w:t>Structural discrete-choice labour-supply microsimulation.</w:t>
      </w:r>
    </w:p>
    <w:p>
      <w:pPr>
        <w:spacing w:after="60"/>
      </w:pPr>
      <w:r>
        <w:rPr>
          <w:rFonts w:ascii="Arial" w:hAnsi="Arial"/>
          <w:b/>
        </w:rPr>
        <w:t xml:space="preserve">Factors. </w:t>
      </w:r>
      <w:r>
        <w:rPr>
          <w:rFonts w:ascii="Arial" w:hAnsi="Arial"/>
        </w:rPr>
        <w:t>Direct policy, labour-supply response, and residual environment.</w:t>
      </w:r>
    </w:p>
    <w:p>
      <w:pPr>
        <w:spacing w:after="60"/>
      </w:pPr>
      <w:r>
        <w:rPr>
          <w:rFonts w:ascii="Arial" w:hAnsi="Arial"/>
          <w:b/>
        </w:rPr>
        <w:t xml:space="preserve">Algorithm. </w:t>
      </w:r>
      <w:r>
        <w:rPr>
          <w:rFonts w:ascii="Arial" w:hAnsi="Arial"/>
        </w:rPr>
        <w:t>Shapley decomposition across the possible orderings.</w:t>
      </w:r>
    </w:p>
    <w:p>
      <w:pPr>
        <w:spacing w:after="60"/>
      </w:pPr>
      <w:r>
        <w:rPr>
          <w:rFonts w:ascii="Arial" w:hAnsi="Arial"/>
          <w:b/>
        </w:rPr>
        <w:t xml:space="preserve">Recomputation. </w:t>
      </w:r>
      <w:r>
        <w:rPr>
          <w:rFonts w:ascii="Arial" w:hAnsi="Arial"/>
        </w:rPr>
        <w:t>Yes for choices, income distributions and poverty or inequality statistics.</w:t>
      </w:r>
    </w:p>
    <w:p>
      <w:pPr>
        <w:spacing w:after="60"/>
      </w:pPr>
      <w:r>
        <w:rPr>
          <w:rFonts w:ascii="Arial" w:hAnsi="Arial"/>
          <w:b/>
        </w:rPr>
        <w:t xml:space="preserve">Overlap. </w:t>
      </w:r>
      <w:r>
        <w:rPr>
          <w:rFonts w:ascii="Arial" w:hAnsi="Arial"/>
        </w:rPr>
        <w:t>Shows that structural labour supply, nonlinear distributional statistics and Shapley attribution can be combined.</w:t>
      </w:r>
    </w:p>
    <w:p>
      <w:pPr>
        <w:spacing w:after="60"/>
      </w:pPr>
      <w:r>
        <w:rPr>
          <w:rFonts w:ascii="Arial" w:hAnsi="Arial"/>
          <w:b/>
        </w:rPr>
        <w:t xml:space="preserve">Difference. </w:t>
      </w:r>
      <w:r>
        <w:rPr>
          <w:rFonts w:ascii="Arial" w:hAnsi="Arial"/>
        </w:rPr>
        <w:t>Policy-change income decomposition, not a level decomposition of money-metric well-being or opportunities.</w:t>
      </w:r>
    </w:p>
    <w:p>
      <w:pPr>
        <w:pStyle w:val="Heading2"/>
      </w:pPr>
      <w:r>
        <w:rPr>
          <w:rFonts w:ascii="Arial" w:hAnsi="Arial"/>
        </w:rPr>
        <w:t>Jessen 2019</w:t>
      </w:r>
    </w:p>
    <w:p>
      <w:r>
        <w:rPr>
          <w:rFonts w:ascii="Arial" w:hAnsi="Arial"/>
          <w:i/>
          <w:color w:val="666666"/>
          <w:sz w:val="19"/>
        </w:rPr>
        <w:t>Close structural income precedent</w:t>
      </w:r>
    </w:p>
    <w:p>
      <w:pPr>
        <w:spacing w:after="60"/>
      </w:pPr>
      <w:r>
        <w:rPr>
          <w:rFonts w:ascii="Arial" w:hAnsi="Arial"/>
          <w:b/>
        </w:rPr>
        <w:t xml:space="preserve">Outcome. </w:t>
      </w:r>
      <w:r>
        <w:rPr>
          <w:rFonts w:ascii="Arial" w:hAnsi="Arial"/>
        </w:rPr>
        <w:t>Equivalized net household income inequality.</w:t>
      </w:r>
    </w:p>
    <w:p>
      <w:pPr>
        <w:spacing w:after="60"/>
      </w:pPr>
      <w:r>
        <w:rPr>
          <w:rFonts w:ascii="Arial" w:hAnsi="Arial"/>
          <w:b/>
        </w:rPr>
        <w:t xml:space="preserve">Model. </w:t>
      </w:r>
      <w:r>
        <w:rPr>
          <w:rFonts w:ascii="Arial" w:hAnsi="Arial"/>
        </w:rPr>
        <w:t>Behavioural tax-benefit microsimulation with discrete-choice labour supply.</w:t>
      </w:r>
    </w:p>
    <w:p>
      <w:pPr>
        <w:spacing w:after="60"/>
      </w:pPr>
      <w:r>
        <w:rPr>
          <w:rFonts w:ascii="Arial" w:hAnsi="Arial"/>
          <w:b/>
        </w:rPr>
        <w:t xml:space="preserve">Factors. </w:t>
      </w:r>
      <w:r>
        <w:rPr>
          <w:rFonts w:ascii="Arial" w:hAnsi="Arial"/>
        </w:rPr>
        <w:t>Policy, wage rates, population and induced labour-supply changes.</w:t>
      </w:r>
    </w:p>
    <w:p>
      <w:pPr>
        <w:spacing w:after="60"/>
      </w:pPr>
      <w:r>
        <w:rPr>
          <w:rFonts w:ascii="Arial" w:hAnsi="Arial"/>
          <w:b/>
        </w:rPr>
        <w:t xml:space="preserve">Algorithm. </w:t>
      </w:r>
      <w:r>
        <w:rPr>
          <w:rFonts w:ascii="Arial" w:hAnsi="Arial"/>
        </w:rPr>
        <w:t>Path-independent averaging based on Shapley logic.</w:t>
      </w:r>
    </w:p>
    <w:p>
      <w:pPr>
        <w:spacing w:after="60"/>
      </w:pPr>
      <w:r>
        <w:rPr>
          <w:rFonts w:ascii="Arial" w:hAnsi="Arial"/>
          <w:b/>
        </w:rPr>
        <w:t xml:space="preserve">Recomputation. </w:t>
      </w:r>
      <w:r>
        <w:rPr>
          <w:rFonts w:ascii="Arial" w:hAnsi="Arial"/>
        </w:rPr>
        <w:t>Yes for counterfactual income distributions and inequality.</w:t>
      </w:r>
    </w:p>
    <w:p>
      <w:pPr>
        <w:spacing w:after="60"/>
      </w:pPr>
      <w:r>
        <w:rPr>
          <w:rFonts w:ascii="Arial" w:hAnsi="Arial"/>
          <w:b/>
        </w:rPr>
        <w:t xml:space="preserve">Overlap. </w:t>
      </w:r>
      <w:r>
        <w:rPr>
          <w:rFonts w:ascii="Arial" w:hAnsi="Arial"/>
        </w:rPr>
        <w:t>Close on wages, resources, choices and nonlinear inequality.</w:t>
      </w:r>
    </w:p>
    <w:p>
      <w:pPr>
        <w:spacing w:after="60"/>
      </w:pPr>
      <w:r>
        <w:rPr>
          <w:rFonts w:ascii="Arial" w:hAnsi="Arial"/>
          <w:b/>
        </w:rPr>
        <w:t xml:space="preserve">Difference. </w:t>
      </w:r>
      <w:r>
        <w:rPr>
          <w:rFonts w:ascii="Arial" w:hAnsi="Arial"/>
        </w:rPr>
        <w:t>No preference-versus-access split, no money-metric welfare, and no latent-job distribution.</w:t>
      </w:r>
    </w:p>
    <w:p>
      <w:pPr>
        <w:pStyle w:val="Heading2"/>
      </w:pPr>
      <w:r>
        <w:rPr>
          <w:rFonts w:ascii="Arial" w:hAnsi="Arial"/>
        </w:rPr>
        <w:t>Aaberge and Colombino 2013</w:t>
      </w:r>
    </w:p>
    <w:p>
      <w:r>
        <w:rPr>
          <w:rFonts w:ascii="Arial" w:hAnsi="Arial"/>
          <w:i/>
          <w:color w:val="666666"/>
          <w:sz w:val="19"/>
        </w:rPr>
        <w:t>Closest early RURO welfare and EOp precedent</w:t>
      </w:r>
    </w:p>
    <w:p>
      <w:pPr>
        <w:spacing w:after="60"/>
      </w:pPr>
      <w:r>
        <w:rPr>
          <w:rFonts w:ascii="Arial" w:hAnsi="Arial"/>
          <w:b/>
        </w:rPr>
        <w:t xml:space="preserve">Outcome. </w:t>
      </w:r>
      <w:r>
        <w:rPr>
          <w:rFonts w:ascii="Arial" w:hAnsi="Arial"/>
        </w:rPr>
        <w:t>Individual money-metric utility and social welfare under equality of outcome and equality of opportunity.</w:t>
      </w:r>
    </w:p>
    <w:p>
      <w:pPr>
        <w:spacing w:after="60"/>
      </w:pPr>
      <w:r>
        <w:rPr>
          <w:rFonts w:ascii="Arial" w:hAnsi="Arial"/>
          <w:b/>
        </w:rPr>
        <w:t xml:space="preserve">Model. </w:t>
      </w:r>
      <w:r>
        <w:rPr>
          <w:rFonts w:ascii="Arial" w:hAnsi="Arial"/>
        </w:rPr>
        <w:t>RURO with heterogeneous household preferences and job opportunities.</w:t>
      </w:r>
    </w:p>
    <w:p>
      <w:pPr>
        <w:spacing w:after="60"/>
      </w:pPr>
      <w:r>
        <w:rPr>
          <w:rFonts w:ascii="Arial" w:hAnsi="Arial"/>
          <w:b/>
        </w:rPr>
        <w:t xml:space="preserve">Factors. </w:t>
      </w:r>
      <w:r>
        <w:rPr>
          <w:rFonts w:ascii="Arial" w:hAnsi="Arial"/>
        </w:rPr>
        <w:t>Tax-rule parameters and normative welfare criteria.</w:t>
      </w:r>
    </w:p>
    <w:p>
      <w:pPr>
        <w:spacing w:after="60"/>
      </w:pPr>
      <w:r>
        <w:rPr>
          <w:rFonts w:ascii="Arial" w:hAnsi="Arial"/>
          <w:b/>
        </w:rPr>
        <w:t xml:space="preserve">Algorithm. </w:t>
      </w:r>
      <w:r>
        <w:rPr>
          <w:rFonts w:ascii="Arial" w:hAnsi="Arial"/>
        </w:rPr>
        <w:t>Iterative simulation and optimization, not Shapley.</w:t>
      </w:r>
    </w:p>
    <w:p>
      <w:pPr>
        <w:spacing w:after="60"/>
      </w:pPr>
      <w:r>
        <w:rPr>
          <w:rFonts w:ascii="Arial" w:hAnsi="Arial"/>
          <w:b/>
        </w:rPr>
        <w:t xml:space="preserve">Recomputation. </w:t>
      </w:r>
      <w:r>
        <w:rPr>
          <w:rFonts w:ascii="Arial" w:hAnsi="Arial"/>
        </w:rPr>
        <w:t>Yes across tax rules.</w:t>
      </w:r>
    </w:p>
    <w:p>
      <w:pPr>
        <w:spacing w:after="60"/>
      </w:pPr>
      <w:r>
        <w:rPr>
          <w:rFonts w:ascii="Arial" w:hAnsi="Arial"/>
          <w:b/>
        </w:rPr>
        <w:t xml:space="preserve">Overlap. </w:t>
      </w:r>
      <w:r>
        <w:rPr>
          <w:rFonts w:ascii="Arial" w:hAnsi="Arial"/>
        </w:rPr>
        <w:t>Contains the model, job opportunities, money metric and distributional social evaluation.</w:t>
      </w:r>
    </w:p>
    <w:p>
      <w:pPr>
        <w:spacing w:after="60"/>
      </w:pPr>
      <w:r>
        <w:rPr>
          <w:rFonts w:ascii="Arial" w:hAnsi="Arial"/>
          <w:b/>
        </w:rPr>
        <w:t xml:space="preserve">Difference. </w:t>
      </w:r>
      <w:r>
        <w:rPr>
          <w:rFonts w:ascii="Arial" w:hAnsi="Arial"/>
        </w:rPr>
        <w:t>Does not allocate existing welfare inequality to P/A/B/D or evaluate all coalitions.</w:t>
      </w:r>
    </w:p>
    <w:p>
      <w:pPr>
        <w:pStyle w:val="Heading2"/>
      </w:pPr>
      <w:r>
        <w:rPr>
          <w:rFonts w:ascii="Arial" w:hAnsi="Arial"/>
        </w:rPr>
        <w:t>Jia and Thoresen 2021</w:t>
      </w:r>
    </w:p>
    <w:p>
      <w:r>
        <w:rPr>
          <w:rFonts w:ascii="Arial" w:hAnsi="Arial"/>
          <w:i/>
          <w:color w:val="666666"/>
          <w:sz w:val="19"/>
        </w:rPr>
        <w:t>Closest opportunity-sensitive money-metric construction</w:t>
      </w:r>
    </w:p>
    <w:p>
      <w:pPr>
        <w:spacing w:after="60"/>
      </w:pPr>
      <w:r>
        <w:rPr>
          <w:rFonts w:ascii="Arial" w:hAnsi="Arial"/>
          <w:b/>
        </w:rPr>
        <w:t xml:space="preserve">Outcome. </w:t>
      </w:r>
      <w:r>
        <w:rPr>
          <w:rFonts w:ascii="Arial" w:hAnsi="Arial"/>
        </w:rPr>
        <w:t>The distribution of compensating variation from a tax reform.</w:t>
      </w:r>
    </w:p>
    <w:p>
      <w:pPr>
        <w:spacing w:after="60"/>
      </w:pPr>
      <w:r>
        <w:rPr>
          <w:rFonts w:ascii="Arial" w:hAnsi="Arial"/>
          <w:b/>
        </w:rPr>
        <w:t xml:space="preserve">Model. </w:t>
      </w:r>
      <w:r>
        <w:rPr>
          <w:rFonts w:ascii="Arial" w:hAnsi="Arial"/>
        </w:rPr>
        <w:t>Job-choice RURO model; the log opportunity measure enters indirect utility.</w:t>
      </w:r>
    </w:p>
    <w:p>
      <w:pPr>
        <w:spacing w:after="60"/>
      </w:pPr>
      <w:r>
        <w:rPr>
          <w:rFonts w:ascii="Arial" w:hAnsi="Arial"/>
          <w:b/>
        </w:rPr>
        <w:t xml:space="preserve">Factors. </w:t>
      </w:r>
      <w:r>
        <w:rPr>
          <w:rFonts w:ascii="Arial" w:hAnsi="Arial"/>
        </w:rPr>
        <w:t>Policy and heterogeneous preferences or opportunity sets.</w:t>
      </w:r>
    </w:p>
    <w:p>
      <w:pPr>
        <w:spacing w:after="60"/>
      </w:pPr>
      <w:r>
        <w:rPr>
          <w:rFonts w:ascii="Arial" w:hAnsi="Arial"/>
          <w:b/>
        </w:rPr>
        <w:t xml:space="preserve">Algorithm. </w:t>
      </w:r>
      <w:r>
        <w:rPr>
          <w:rFonts w:ascii="Arial" w:hAnsi="Arial"/>
        </w:rPr>
        <w:t>Structural before-after welfare simulation.</w:t>
      </w:r>
    </w:p>
    <w:p>
      <w:pPr>
        <w:spacing w:after="60"/>
      </w:pPr>
      <w:r>
        <w:rPr>
          <w:rFonts w:ascii="Arial" w:hAnsi="Arial"/>
          <w:b/>
        </w:rPr>
        <w:t xml:space="preserve">Recomputation. </w:t>
      </w:r>
      <w:r>
        <w:rPr>
          <w:rFonts w:ascii="Arial" w:hAnsi="Arial"/>
        </w:rPr>
        <w:t>Yes for reform welfare changes.</w:t>
      </w:r>
    </w:p>
    <w:p>
      <w:pPr>
        <w:spacing w:after="60"/>
      </w:pPr>
      <w:r>
        <w:rPr>
          <w:rFonts w:ascii="Arial" w:hAnsi="Arial"/>
          <w:b/>
        </w:rPr>
        <w:t xml:space="preserve">Overlap. </w:t>
      </w:r>
      <w:r>
        <w:rPr>
          <w:rFonts w:ascii="Arial" w:hAnsi="Arial"/>
        </w:rPr>
        <w:t>Makes job opportunities enter the money metric and explicitly discusses compensation for opportunity differences.</w:t>
      </w:r>
    </w:p>
    <w:p>
      <w:pPr>
        <w:spacing w:after="60"/>
      </w:pPr>
      <w:r>
        <w:rPr>
          <w:rFonts w:ascii="Arial" w:hAnsi="Arial"/>
          <w:b/>
        </w:rPr>
        <w:t xml:space="preserve">Difference. </w:t>
      </w:r>
      <w:r>
        <w:rPr>
          <w:rFonts w:ascii="Arial" w:hAnsi="Arial"/>
        </w:rPr>
        <w:t>No inequality-level decomposition, no P/A/B/D coalition game, and no Shapley allocation.</w:t>
      </w:r>
    </w:p>
    <w:p>
      <w:pPr>
        <w:pStyle w:val="Heading2"/>
      </w:pPr>
      <w:r>
        <w:rPr>
          <w:rFonts w:ascii="Arial" w:hAnsi="Arial"/>
        </w:rPr>
        <w:t>Jacquet Jia and Thoresen 2026</w:t>
      </w:r>
    </w:p>
    <w:p>
      <w:r>
        <w:rPr>
          <w:rFonts w:ascii="Arial" w:hAnsi="Arial"/>
          <w:i/>
          <w:color w:val="666666"/>
          <w:sz w:val="19"/>
        </w:rPr>
        <w:t>Closest responsibility and fairness precedent</w:t>
      </w:r>
    </w:p>
    <w:p>
      <w:pPr>
        <w:spacing w:after="60"/>
      </w:pPr>
      <w:r>
        <w:rPr>
          <w:rFonts w:ascii="Arial" w:hAnsi="Arial"/>
          <w:b/>
        </w:rPr>
        <w:t xml:space="preserve">Outcome. </w:t>
      </w:r>
      <w:r>
        <w:rPr>
          <w:rFonts w:ascii="Arial" w:hAnsi="Arial"/>
        </w:rPr>
        <w:t>Standard and circumstance-only compensating-variation distributions for a tax reform.</w:t>
      </w:r>
    </w:p>
    <w:p>
      <w:pPr>
        <w:spacing w:after="60"/>
      </w:pPr>
      <w:r>
        <w:rPr>
          <w:rFonts w:ascii="Arial" w:hAnsi="Arial"/>
          <w:b/>
        </w:rPr>
        <w:t xml:space="preserve">Model. </w:t>
      </w:r>
      <w:r>
        <w:rPr>
          <w:rFonts w:ascii="Arial" w:hAnsi="Arial"/>
        </w:rPr>
        <w:t>Structural job-choice model.</w:t>
      </w:r>
    </w:p>
    <w:p>
      <w:pPr>
        <w:spacing w:after="60"/>
      </w:pPr>
      <w:r>
        <w:rPr>
          <w:rFonts w:ascii="Arial" w:hAnsi="Arial"/>
          <w:b/>
        </w:rPr>
        <w:t xml:space="preserve">Factors. </w:t>
      </w:r>
      <w:r>
        <w:rPr>
          <w:rFonts w:ascii="Arial" w:hAnsi="Arial"/>
        </w:rPr>
        <w:t>Preferences and circumstances.</w:t>
      </w:r>
    </w:p>
    <w:p>
      <w:pPr>
        <w:spacing w:after="60"/>
      </w:pPr>
      <w:r>
        <w:rPr>
          <w:rFonts w:ascii="Arial" w:hAnsi="Arial"/>
          <w:b/>
        </w:rPr>
        <w:t xml:space="preserve">Algorithm. </w:t>
      </w:r>
      <w:r>
        <w:rPr>
          <w:rFonts w:ascii="Arial" w:hAnsi="Arial"/>
        </w:rPr>
        <w:t>Reference-preference welfare construction with McFadden simulation.</w:t>
      </w:r>
    </w:p>
    <w:p>
      <w:pPr>
        <w:spacing w:after="60"/>
      </w:pPr>
      <w:r>
        <w:rPr>
          <w:rFonts w:ascii="Arial" w:hAnsi="Arial"/>
          <w:b/>
        </w:rPr>
        <w:t xml:space="preserve">Recomputation. </w:t>
      </w:r>
      <w:r>
        <w:rPr>
          <w:rFonts w:ascii="Arial" w:hAnsi="Arial"/>
        </w:rPr>
        <w:t>Yes for the two welfare measures.</w:t>
      </w:r>
    </w:p>
    <w:p>
      <w:pPr>
        <w:spacing w:after="60"/>
      </w:pPr>
      <w:r>
        <w:rPr>
          <w:rFonts w:ascii="Arial" w:hAnsi="Arial"/>
          <w:b/>
        </w:rPr>
        <w:t xml:space="preserve">Overlap. </w:t>
      </w:r>
      <w:r>
        <w:rPr>
          <w:rFonts w:ascii="Arial" w:hAnsi="Arial"/>
        </w:rPr>
        <w:t>Directly asks how responsibility for preferences matters for a money-metric welfare distribution.</w:t>
      </w:r>
    </w:p>
    <w:p>
      <w:pPr>
        <w:spacing w:after="60"/>
      </w:pPr>
      <w:r>
        <w:rPr>
          <w:rFonts w:ascii="Arial" w:hAnsi="Arial"/>
          <w:b/>
        </w:rPr>
        <w:t xml:space="preserve">Difference. </w:t>
      </w:r>
      <w:r>
        <w:rPr>
          <w:rFonts w:ascii="Arial" w:hAnsi="Arial"/>
        </w:rPr>
        <w:t>It equalizes only preferences, studies reform gains rather than inequality levels, and does not use Shapley.</w:t>
      </w:r>
    </w:p>
    <w:p>
      <w:pPr>
        <w:pStyle w:val="Heading2"/>
      </w:pPr>
      <w:r>
        <w:rPr>
          <w:rFonts w:ascii="Arial" w:hAnsi="Arial"/>
        </w:rPr>
        <w:t>Decoster and Haan 2015</w:t>
      </w:r>
    </w:p>
    <w:p>
      <w:r>
        <w:rPr>
          <w:rFonts w:ascii="Arial" w:hAnsi="Arial"/>
          <w:i/>
          <w:color w:val="666666"/>
          <w:sz w:val="19"/>
        </w:rPr>
        <w:t>Closest comparable-welfare precedent outside RURO</w:t>
      </w:r>
    </w:p>
    <w:p>
      <w:pPr>
        <w:spacing w:after="60"/>
      </w:pPr>
      <w:r>
        <w:rPr>
          <w:rFonts w:ascii="Arial" w:hAnsi="Arial"/>
          <w:b/>
        </w:rPr>
        <w:t xml:space="preserve">Outcome. </w:t>
      </w:r>
      <w:r>
        <w:rPr>
          <w:rFonts w:ascii="Arial" w:hAnsi="Arial"/>
        </w:rPr>
        <w:t>Household welfare orderings and reform evaluation using rent, reference-wage and related measures.</w:t>
      </w:r>
    </w:p>
    <w:p>
      <w:pPr>
        <w:spacing w:after="60"/>
      </w:pPr>
      <w:r>
        <w:rPr>
          <w:rFonts w:ascii="Arial" w:hAnsi="Arial"/>
          <w:b/>
        </w:rPr>
        <w:t xml:space="preserve">Model. </w:t>
      </w:r>
      <w:r>
        <w:rPr>
          <w:rFonts w:ascii="Arial" w:hAnsi="Arial"/>
        </w:rPr>
        <w:t>Random-utility discrete-choice labour supply with household-specific preference heterogeneity.</w:t>
      </w:r>
    </w:p>
    <w:p>
      <w:pPr>
        <w:spacing w:after="60"/>
      </w:pPr>
      <w:r>
        <w:rPr>
          <w:rFonts w:ascii="Arial" w:hAnsi="Arial"/>
          <w:b/>
        </w:rPr>
        <w:t xml:space="preserve">Factors. </w:t>
      </w:r>
      <w:r>
        <w:rPr>
          <w:rFonts w:ascii="Arial" w:hAnsi="Arial"/>
        </w:rPr>
        <w:t>Preferences and normative reference choices.</w:t>
      </w:r>
    </w:p>
    <w:p>
      <w:pPr>
        <w:spacing w:after="60"/>
      </w:pPr>
      <w:r>
        <w:rPr>
          <w:rFonts w:ascii="Arial" w:hAnsi="Arial"/>
          <w:b/>
        </w:rPr>
        <w:t xml:space="preserve">Algorithm. </w:t>
      </w:r>
      <w:r>
        <w:rPr>
          <w:rFonts w:ascii="Arial" w:hAnsi="Arial"/>
        </w:rPr>
        <w:t>Metric comparison, not decomposition.</w:t>
      </w:r>
    </w:p>
    <w:p>
      <w:pPr>
        <w:spacing w:after="60"/>
      </w:pPr>
      <w:r>
        <w:rPr>
          <w:rFonts w:ascii="Arial" w:hAnsi="Arial"/>
          <w:b/>
        </w:rPr>
        <w:t xml:space="preserve">Recomputation. </w:t>
      </w:r>
      <w:r>
        <w:rPr>
          <w:rFonts w:ascii="Arial" w:hAnsi="Arial"/>
        </w:rPr>
        <w:t>Yes under a hypothetical tax reform.</w:t>
      </w:r>
    </w:p>
    <w:p>
      <w:pPr>
        <w:spacing w:after="60"/>
      </w:pPr>
      <w:r>
        <w:rPr>
          <w:rFonts w:ascii="Arial" w:hAnsi="Arial"/>
          <w:b/>
        </w:rPr>
        <w:t xml:space="preserve">Overlap. </w:t>
      </w:r>
      <w:r>
        <w:rPr>
          <w:rFonts w:ascii="Arial" w:hAnsi="Arial"/>
        </w:rPr>
        <w:t>Shows how estimated preferences can enter interpersonal welfare comparisons.</w:t>
      </w:r>
    </w:p>
    <w:p>
      <w:pPr>
        <w:spacing w:after="60"/>
      </w:pPr>
      <w:r>
        <w:rPr>
          <w:rFonts w:ascii="Arial" w:hAnsi="Arial"/>
          <w:b/>
        </w:rPr>
        <w:t xml:space="preserve">Difference. </w:t>
      </w:r>
      <w:r>
        <w:rPr>
          <w:rFonts w:ascii="Arial" w:hAnsi="Arial"/>
        </w:rPr>
        <w:t>No structural opportunity distribution, P/A/B/D operators, or Shapley attribution.</w:t>
      </w:r>
    </w:p>
    <w:p>
      <w:pPr>
        <w:pStyle w:val="Heading2"/>
      </w:pPr>
      <w:r>
        <w:rPr>
          <w:rFonts w:ascii="Arial" w:hAnsi="Arial"/>
        </w:rPr>
        <w:t>Ooghe Schokkaert and Serruys 2025</w:t>
      </w:r>
    </w:p>
    <w:p>
      <w:r>
        <w:rPr>
          <w:rFonts w:ascii="Arial" w:hAnsi="Arial"/>
          <w:i/>
          <w:color w:val="666666"/>
          <w:sz w:val="19"/>
        </w:rPr>
        <w:t>Closest money-metric fairness identity</w:t>
      </w:r>
    </w:p>
    <w:p>
      <w:pPr>
        <w:spacing w:after="60"/>
      </w:pPr>
      <w:r>
        <w:rPr>
          <w:rFonts w:ascii="Arial" w:hAnsi="Arial"/>
          <w:b/>
        </w:rPr>
        <w:t xml:space="preserve">Outcome. </w:t>
      </w:r>
      <w:r>
        <w:rPr>
          <w:rFonts w:ascii="Arial" w:hAnsi="Arial"/>
        </w:rPr>
        <w:t>Social welfare based on fairness gaps in money-metric utility.</w:t>
      </w:r>
    </w:p>
    <w:p>
      <w:pPr>
        <w:spacing w:after="60"/>
      </w:pPr>
      <w:r>
        <w:rPr>
          <w:rFonts w:ascii="Arial" w:hAnsi="Arial"/>
          <w:b/>
        </w:rPr>
        <w:t xml:space="preserve">Model. </w:t>
      </w:r>
      <w:r>
        <w:rPr>
          <w:rFonts w:ascii="Arial" w:hAnsi="Arial"/>
        </w:rPr>
        <w:t>Choice setting with skill and preference heterogeneity.</w:t>
      </w:r>
    </w:p>
    <w:p>
      <w:pPr>
        <w:spacing w:after="60"/>
      </w:pPr>
      <w:r>
        <w:rPr>
          <w:rFonts w:ascii="Arial" w:hAnsi="Arial"/>
          <w:b/>
        </w:rPr>
        <w:t xml:space="preserve">Factors. </w:t>
      </w:r>
      <w:r>
        <w:rPr>
          <w:rFonts w:ascii="Arial" w:hAnsi="Arial"/>
        </w:rPr>
        <w:t>Government revenue, excess burden and unfair inequality.</w:t>
      </w:r>
    </w:p>
    <w:p>
      <w:pPr>
        <w:spacing w:after="60"/>
      </w:pPr>
      <w:r>
        <w:rPr>
          <w:rFonts w:ascii="Arial" w:hAnsi="Arial"/>
          <w:b/>
        </w:rPr>
        <w:t xml:space="preserve">Algorithm. </w:t>
      </w:r>
      <w:r>
        <w:rPr>
          <w:rFonts w:ascii="Arial" w:hAnsi="Arial"/>
        </w:rPr>
        <w:t>Analytical welfare decomposition, not a cooperative game.</w:t>
      </w:r>
    </w:p>
    <w:p>
      <w:pPr>
        <w:spacing w:after="60"/>
      </w:pPr>
      <w:r>
        <w:rPr>
          <w:rFonts w:ascii="Arial" w:hAnsi="Arial"/>
          <w:b/>
        </w:rPr>
        <w:t xml:space="preserve">Recomputation. </w:t>
      </w:r>
      <w:r>
        <w:rPr>
          <w:rFonts w:ascii="Arial" w:hAnsi="Arial"/>
        </w:rPr>
        <w:t>Policy reforms are evaluated, but no all-coalition structural recomputation.</w:t>
      </w:r>
    </w:p>
    <w:p>
      <w:pPr>
        <w:spacing w:after="60"/>
      </w:pPr>
      <w:r>
        <w:rPr>
          <w:rFonts w:ascii="Arial" w:hAnsi="Arial"/>
          <w:b/>
        </w:rPr>
        <w:t xml:space="preserve">Overlap. </w:t>
      </w:r>
      <w:r>
        <w:rPr>
          <w:rFonts w:ascii="Arial" w:hAnsi="Arial"/>
        </w:rPr>
        <w:t>Preferences, productive opportunities and money-metric fairness.</w:t>
      </w:r>
    </w:p>
    <w:p>
      <w:pPr>
        <w:spacing w:after="60"/>
      </w:pPr>
      <w:r>
        <w:rPr>
          <w:rFonts w:ascii="Arial" w:hAnsi="Arial"/>
          <w:b/>
        </w:rPr>
        <w:t xml:space="preserve">Difference. </w:t>
      </w:r>
      <w:r>
        <w:rPr>
          <w:rFonts w:ascii="Arial" w:hAnsi="Arial"/>
        </w:rPr>
        <w:t>Different welfare object, different factor meaning and no RURO empirical Shapley exercise.</w:t>
      </w:r>
    </w:p>
    <w:p>
      <w:pPr>
        <w:pStyle w:val="Heading2"/>
      </w:pPr>
      <w:r>
        <w:rPr>
          <w:rFonts w:ascii="Arial" w:hAnsi="Arial"/>
        </w:rPr>
        <w:t>Piacquadio 2026</w:t>
      </w:r>
    </w:p>
    <w:p>
      <w:r>
        <w:rPr>
          <w:rFonts w:ascii="Arial" w:hAnsi="Arial"/>
          <w:i/>
          <w:color w:val="666666"/>
          <w:sz w:val="19"/>
        </w:rPr>
        <w:t>Closest opportunity-sensitive welfare theory</w:t>
      </w:r>
    </w:p>
    <w:p>
      <w:pPr>
        <w:spacing w:after="60"/>
      </w:pPr>
      <w:r>
        <w:rPr>
          <w:rFonts w:ascii="Arial" w:hAnsi="Arial"/>
          <w:b/>
        </w:rPr>
        <w:t xml:space="preserve">Outcome. </w:t>
      </w:r>
      <w:r>
        <w:rPr>
          <w:rFonts w:ascii="Arial" w:hAnsi="Arial"/>
        </w:rPr>
        <w:t>Individual and social deprivation based on whether a household lacks an opportunity for a good-enough life.</w:t>
      </w:r>
    </w:p>
    <w:p>
      <w:pPr>
        <w:spacing w:after="60"/>
      </w:pPr>
      <w:r>
        <w:rPr>
          <w:rFonts w:ascii="Arial" w:hAnsi="Arial"/>
          <w:b/>
        </w:rPr>
        <w:t xml:space="preserve">Model. </w:t>
      </w:r>
      <w:r>
        <w:rPr>
          <w:rFonts w:ascii="Arial" w:hAnsi="Arial"/>
        </w:rPr>
        <w:t>Axiomatic framework with random-utility labour-supply illustration.</w:t>
      </w:r>
    </w:p>
    <w:p>
      <w:pPr>
        <w:spacing w:after="60"/>
      </w:pPr>
      <w:r>
        <w:rPr>
          <w:rFonts w:ascii="Arial" w:hAnsi="Arial"/>
          <w:b/>
        </w:rPr>
        <w:t xml:space="preserve">Factors. </w:t>
      </w:r>
      <w:r>
        <w:rPr>
          <w:rFonts w:ascii="Arial" w:hAnsi="Arial"/>
        </w:rPr>
        <w:t>Preferences, opportunities and household needs.</w:t>
      </w:r>
    </w:p>
    <w:p>
      <w:pPr>
        <w:spacing w:after="60"/>
      </w:pPr>
      <w:r>
        <w:rPr>
          <w:rFonts w:ascii="Arial" w:hAnsi="Arial"/>
          <w:b/>
        </w:rPr>
        <w:t xml:space="preserve">Algorithm. </w:t>
      </w:r>
      <w:r>
        <w:rPr>
          <w:rFonts w:ascii="Arial" w:hAnsi="Arial"/>
        </w:rPr>
        <w:t>Axiomatic aggregation.</w:t>
      </w:r>
    </w:p>
    <w:p>
      <w:pPr>
        <w:spacing w:after="60"/>
      </w:pPr>
      <w:r>
        <w:rPr>
          <w:rFonts w:ascii="Arial" w:hAnsi="Arial"/>
          <w:b/>
        </w:rPr>
        <w:t xml:space="preserve">Recomputation. </w:t>
      </w:r>
      <w:r>
        <w:rPr>
          <w:rFonts w:ascii="Arial" w:hAnsi="Arial"/>
        </w:rPr>
        <w:t>No coalition counterfactual decomposition.</w:t>
      </w:r>
    </w:p>
    <w:p>
      <w:pPr>
        <w:spacing w:after="60"/>
      </w:pPr>
      <w:r>
        <w:rPr>
          <w:rFonts w:ascii="Arial" w:hAnsi="Arial"/>
          <w:b/>
        </w:rPr>
        <w:t xml:space="preserve">Overlap. </w:t>
      </w:r>
      <w:r>
        <w:rPr>
          <w:rFonts w:ascii="Arial" w:hAnsi="Arial"/>
        </w:rPr>
        <w:t>Thematic match on non-paternalism, opportunity sets and needs.</w:t>
      </w:r>
    </w:p>
    <w:p>
      <w:pPr>
        <w:spacing w:after="60"/>
      </w:pPr>
      <w:r>
        <w:rPr>
          <w:rFonts w:ascii="Arial" w:hAnsi="Arial"/>
          <w:b/>
        </w:rPr>
        <w:t xml:space="preserve">Difference. </w:t>
      </w:r>
      <w:r>
        <w:rPr>
          <w:rFonts w:ascii="Arial" w:hAnsi="Arial"/>
        </w:rPr>
        <w:t>No P/A/B/D attribution, RURO estimation with latent jobs, or Shapley.</w:t>
      </w:r>
    </w:p>
    <w:p>
      <w:pPr>
        <w:pStyle w:val="Heading2"/>
      </w:pPr>
      <w:r>
        <w:rPr>
          <w:rFonts w:ascii="Arial" w:hAnsi="Arial"/>
        </w:rPr>
        <w:t>Bourguignon Ferreira and Leite 2008</w:t>
      </w:r>
    </w:p>
    <w:p>
      <w:r>
        <w:rPr>
          <w:rFonts w:ascii="Arial" w:hAnsi="Arial"/>
          <w:i/>
          <w:color w:val="666666"/>
          <w:sz w:val="19"/>
        </w:rPr>
        <w:t>Closest microeconometric distributional swapping</w:t>
      </w:r>
    </w:p>
    <w:p>
      <w:pPr>
        <w:spacing w:after="60"/>
      </w:pPr>
      <w:r>
        <w:rPr>
          <w:rFonts w:ascii="Arial" w:hAnsi="Arial"/>
          <w:b/>
        </w:rPr>
        <w:t xml:space="preserve">Outcome. </w:t>
      </w:r>
      <w:r>
        <w:rPr>
          <w:rFonts w:ascii="Arial" w:hAnsi="Arial"/>
        </w:rPr>
        <w:t>Household-income inequality and poverty.</w:t>
      </w:r>
    </w:p>
    <w:p>
      <w:pPr>
        <w:spacing w:after="60"/>
      </w:pPr>
      <w:r>
        <w:rPr>
          <w:rFonts w:ascii="Arial" w:hAnsi="Arial"/>
          <w:b/>
        </w:rPr>
        <w:t xml:space="preserve">Model. </w:t>
      </w:r>
      <w:r>
        <w:rPr>
          <w:rFonts w:ascii="Arial" w:hAnsi="Arial"/>
        </w:rPr>
        <w:t>Income generation and occupational choice.</w:t>
      </w:r>
    </w:p>
    <w:p>
      <w:pPr>
        <w:spacing w:after="60"/>
      </w:pPr>
      <w:r>
        <w:rPr>
          <w:rFonts w:ascii="Arial" w:hAnsi="Arial"/>
          <w:b/>
        </w:rPr>
        <w:t xml:space="preserve">Factors. </w:t>
      </w:r>
      <w:r>
        <w:rPr>
          <w:rFonts w:ascii="Arial" w:hAnsi="Arial"/>
        </w:rPr>
        <w:t>Returns, occupations, endowments, demographics and non-labour income.</w:t>
      </w:r>
    </w:p>
    <w:p>
      <w:pPr>
        <w:spacing w:after="60"/>
      </w:pPr>
      <w:r>
        <w:rPr>
          <w:rFonts w:ascii="Arial" w:hAnsi="Arial"/>
          <w:b/>
        </w:rPr>
        <w:t xml:space="preserve">Algorithm. </w:t>
      </w:r>
      <w:r>
        <w:rPr>
          <w:rFonts w:ascii="Arial" w:hAnsi="Arial"/>
        </w:rPr>
        <w:t>Counterfactual parameter replacement; the paper discusses path dependence and reports selected paths.</w:t>
      </w:r>
    </w:p>
    <w:p>
      <w:pPr>
        <w:spacing w:after="60"/>
      </w:pPr>
      <w:r>
        <w:rPr>
          <w:rFonts w:ascii="Arial" w:hAnsi="Arial"/>
          <w:b/>
        </w:rPr>
        <w:t xml:space="preserve">Recomputation. </w:t>
      </w:r>
      <w:r>
        <w:rPr>
          <w:rFonts w:ascii="Arial" w:hAnsi="Arial"/>
        </w:rPr>
        <w:t>Yes for counterfactual income distributions and indices.</w:t>
      </w:r>
    </w:p>
    <w:p>
      <w:pPr>
        <w:spacing w:after="60"/>
      </w:pPr>
      <w:r>
        <w:rPr>
          <w:rFonts w:ascii="Arial" w:hAnsi="Arial"/>
          <w:b/>
        </w:rPr>
        <w:t xml:space="preserve">Overlap. </w:t>
      </w:r>
      <w:r>
        <w:rPr>
          <w:rFonts w:ascii="Arial" w:hAnsi="Arial"/>
        </w:rPr>
        <w:t>Factor-specific structural counterfactual distributions.</w:t>
      </w:r>
    </w:p>
    <w:p>
      <w:pPr>
        <w:spacing w:after="60"/>
      </w:pPr>
      <w:r>
        <w:rPr>
          <w:rFonts w:ascii="Arial" w:hAnsi="Arial"/>
          <w:b/>
        </w:rPr>
        <w:t xml:space="preserve">Difference. </w:t>
      </w:r>
      <w:r>
        <w:rPr>
          <w:rFonts w:ascii="Arial" w:hAnsi="Arial"/>
        </w:rPr>
        <w:t>No utility, money metric, opportunity-sensitive welfare, latent jobs, or grouped all-coalition allocation.</w:t>
      </w:r>
    </w:p>
    <w:p>
      <w:r>
        <w:rPr>
          <w:rFonts w:ascii="Arial" w:hAnsi="Arial"/>
        </w:rPr>
        <w:br w:type="page"/>
      </w:r>
    </w:p>
    <w:p>
      <w:pPr>
        <w:pStyle w:val="Heading1"/>
      </w:pPr>
      <w:r>
        <w:rPr>
          <w:rFonts w:ascii="Arial" w:hAnsi="Arial"/>
        </w:rPr>
        <w:t>Adjacent literatures and why they do not defeat the claim</w:t>
      </w:r>
    </w:p>
    <w:p>
      <w:pPr>
        <w:pStyle w:val="Heading2"/>
      </w:pPr>
      <w:r>
        <w:rPr>
          <w:rFonts w:ascii="Arial" w:hAnsi="Arial"/>
        </w:rPr>
        <w:t>Equivalent income and welfare rankings</w:t>
      </w:r>
    </w:p>
    <w:p>
      <w:r>
        <w:rPr>
          <w:rFonts w:ascii="Arial" w:hAnsi="Arial"/>
          <w:b w:val="0"/>
        </w:rPr>
        <w:t xml:space="preserve">Aaberge, Dagsvik, and Strom 1989 already compare inequality rankings based on equivalent income with rankings based on money income in estimated labour-supply models. Aaberge, Dagsvik, and Strom 1995 estimate a job-opportunity model and evaluate welfare effects of tax reforms. Decoster and Haan 2015 and Bargain et al. 2013 retrieve preference heterogeneity from structural labour-supply models to construct comparable welfare orderings. </w:t>
      </w:r>
      <w:r>
        <w:rPr>
          <w:rFonts w:ascii="Arial" w:hAnsi="Arial"/>
          <w:b/>
        </w:rPr>
        <w:t>These papers rule out claims to the first structural labour-supply welfare distribution or the first use of estimated preferences in money-metric well-being.</w:t>
      </w:r>
      <w:r>
        <w:rPr>
          <w:rFonts w:ascii="Arial" w:hAnsi="Arial"/>
          <w:sz w:val="15"/>
          <w:vertAlign w:val="superscript"/>
        </w:rPr>
        <w:t>7</w:t>
      </w:r>
    </w:p>
    <w:p>
      <w:pPr>
        <w:pStyle w:val="Heading2"/>
      </w:pPr>
      <w:r>
        <w:rPr>
          <w:rFonts w:ascii="Arial" w:hAnsi="Arial"/>
        </w:rPr>
        <w:t>Recent RURO policy evaluation</w:t>
      </w:r>
    </w:p>
    <w:p>
      <w:r>
        <w:rPr>
          <w:rFonts w:ascii="Arial" w:hAnsi="Arial"/>
        </w:rPr>
        <w:t>The recent RURO literature is active. De Mahieu 2021 evaluates Belgian in-work benefits with labour-supply and welfare effects. Rees, Thoresen, and Vatto 2023 compare child-benefit designs and report changes in money-metric utility. Colombino and Islam 2025 search for optimal tax-transfer rules under job-loss and job-creation scenarios with comparable money-metric welfare. Green and Sonnewald 2025 evaluate marginal Belgian income-tax reforms with a RURO model and money-metric utility. These papers make the model-welfare pairing established, but none performs the proposed structural attribution.</w:t>
      </w:r>
    </w:p>
    <w:p>
      <w:pPr>
        <w:pStyle w:val="Heading2"/>
      </w:pPr>
      <w:r>
        <w:rPr>
          <w:rFonts w:ascii="Arial" w:hAnsi="Arial"/>
        </w:rPr>
        <w:t>Fairness and opportunity-sensitive welfare</w:t>
      </w:r>
    </w:p>
    <w:p>
      <w:r>
        <w:rPr>
          <w:rFonts w:ascii="Arial" w:hAnsi="Arial"/>
        </w:rPr>
        <w:t>Ooghe, Schokkaert, and Serruys 2025 define fairness gaps as differences between actual and fair money-metric utilities and analytically separate revenue, efficiency, and unfair inequality. Piacquadio 2026 builds a non-paternalistic deprivation criterion around opportunity sets and household needs. These contributions sharpen the normative antecedents. They do not estimate and decompose the same empirical welfare distribution.</w:t>
      </w:r>
      <w:r>
        <w:rPr>
          <w:rFonts w:ascii="Arial" w:hAnsi="Arial"/>
          <w:sz w:val="15"/>
          <w:vertAlign w:val="superscript"/>
        </w:rPr>
        <w:t>10</w:t>
      </w:r>
    </w:p>
    <w:p>
      <w:pPr>
        <w:pStyle w:val="Heading2"/>
      </w:pPr>
      <w:r>
        <w:rPr>
          <w:rFonts w:ascii="Arial" w:hAnsi="Arial"/>
        </w:rPr>
        <w:t>Inequality of opportunity</w:t>
      </w:r>
    </w:p>
    <w:p>
      <w:r>
        <w:rPr>
          <w:rFonts w:ascii="Arial" w:hAnsi="Arial"/>
        </w:rPr>
        <w:t>Bourguignon, Ferreira, and Menendez 2007 and Ferreira and Gignoux 2011 measure the share of inequality in earnings, income, or consumption associated with observed circumstances. Azevedo, Sanfelice, and Nguyen 2012 apply Shapley logic to changes in a welfare aggregate, meaning an income or consumption aggregate rather than utility. The later IOp literature often uses Shapley values to apportion fitted opportunity inequality across circumstances.</w:t>
      </w:r>
      <w:r>
        <w:rPr>
          <w:rFonts w:ascii="Arial" w:hAnsi="Arial"/>
          <w:sz w:val="15"/>
          <w:vertAlign w:val="superscript"/>
        </w:rPr>
        <w:t>11</w:t>
      </w:r>
    </w:p>
    <w:p>
      <w:r>
        <w:rPr>
          <w:rFonts w:ascii="Arial" w:hAnsi="Arial"/>
          <w:b/>
        </w:rPr>
        <w:t xml:space="preserve">This literature differs at three levels. </w:t>
      </w:r>
      <w:r>
        <w:rPr>
          <w:rFonts w:ascii="Arial" w:hAnsi="Arial"/>
        </w:rPr>
        <w:t>Its outcome is typically earnings, household income, consumption, or a predicted circumstance component; its opportunity concept is based on observed ex ante circumstances rather than an estimated choice set; and its counterfactuals generally do not solve the household's structural choice problem and recompute money-metric welfare for every coalition.</w:t>
      </w:r>
    </w:p>
    <w:p>
      <w:pPr>
        <w:pStyle w:val="Heading2"/>
      </w:pPr>
      <w:r>
        <w:rPr>
          <w:rFonts w:ascii="Arial" w:hAnsi="Arial"/>
        </w:rPr>
        <w:t>Preferences versus productivity</w:t>
      </w:r>
    </w:p>
    <w:p>
      <w:r>
        <w:rPr>
          <w:rFonts w:ascii="Arial" w:hAnsi="Arial"/>
        </w:rPr>
        <w:t>Bergstrom and Dodds 2020 use labour-supply elasticities to infer how productivity and preferences contribute to earnings inequality and construct counterfactual incomes that equalize each element. This is a useful conceptual comparator because it treats preferences as a source of observed inequality. It has no Shapley allocation, latent job opportunities, household money metric, or access-resource split.</w:t>
      </w:r>
      <w:r>
        <w:rPr>
          <w:rFonts w:ascii="Arial" w:hAnsi="Arial"/>
          <w:sz w:val="15"/>
          <w:vertAlign w:val="superscript"/>
        </w:rPr>
        <w:t>12</w:t>
      </w:r>
    </w:p>
    <w:p>
      <w:pPr>
        <w:pStyle w:val="Heading2"/>
      </w:pPr>
      <w:r>
        <w:rPr>
          <w:rFonts w:ascii="Arial" w:hAnsi="Arial"/>
        </w:rPr>
        <w:t>Structural counterfactual income decompositions</w:t>
      </w:r>
    </w:p>
    <w:p>
      <w:r>
        <w:rPr>
          <w:rFonts w:ascii="Arial" w:hAnsi="Arial"/>
        </w:rPr>
        <w:t>Bourguignon, Ferreira, and Leite 2008 import wage, occupational-choice, endowment, demographic, and non-labour-income structures across countries to create counterfactual income distributions. This is a direct precedent for recomputing nonlinear distributional statistics under structural factor swaps. The paper notes the path-dependence problem but reports selected orderings rather than the complete grouped allocation proposed here.</w:t>
      </w:r>
    </w:p>
    <w:p>
      <w:pPr>
        <w:pStyle w:val="Heading1"/>
      </w:pPr>
      <w:r>
        <w:rPr>
          <w:rFonts w:ascii="Arial" w:hAnsi="Arial"/>
        </w:rPr>
        <w:t>Ruling D Safe novelty language</w:t>
      </w:r>
    </w:p>
    <w:p>
      <w:pPr>
        <w:pStyle w:val="Heading2"/>
      </w:pPr>
      <w:r>
        <w:rPr>
          <w:rFonts w:ascii="Arial" w:hAnsi="Arial"/>
        </w:rPr>
        <w:t>Recommended abstract sentence</w:t>
      </w:r>
    </w:p>
    <w:p>
      <w:r>
        <w:rPr>
          <w:rFonts w:ascii="Arial" w:hAnsi="Arial"/>
          <w:i/>
          <w:sz w:val="22"/>
        </w:rPr>
        <w:t>To our knowledge, this paper is the first to use a random-utility random-opportunity structural labour-supply model to attribute inequality in an opportunity-sensitive money-metric welfare distribution to preferences, access to employment, hours and occupations, earning opportunities, and household resources and needs by fully recomputing welfare under all coalition counterfactuals and applying a grouped Shapley-Owen-Shorrocks allocation.</w:t>
      </w:r>
      <w:r>
        <w:rPr>
          <w:rFonts w:ascii="Arial" w:hAnsi="Arial"/>
          <w:sz w:val="15"/>
          <w:vertAlign w:val="superscript"/>
        </w:rPr>
        <w:t>14</w:t>
      </w:r>
    </w:p>
    <w:p>
      <w:pPr>
        <w:pStyle w:val="Heading2"/>
      </w:pPr>
      <w:r>
        <w:rPr>
          <w:rFonts w:ascii="Arial" w:hAnsi="Arial"/>
        </w:rPr>
        <w:t>More conservative sentence</w:t>
      </w:r>
    </w:p>
    <w:p>
      <w:r>
        <w:rPr>
          <w:rFonts w:ascii="Arial" w:hAnsi="Arial"/>
          <w:i/>
          <w:sz w:val="22"/>
        </w:rPr>
        <w:t>We introduce and implement a structural decomposition of opportunity-sensitive money-metric welfare inequality. Using an estimated RURO labour-supply model, we equalize preferences, job access, earning opportunities, and household resources or needs in all required coalitions, recompute household welfare and inequality in each counterfactual, and allocate the resulting gap with a grouped Shapley-Owen-Shorrocks rule.</w:t>
      </w:r>
    </w:p>
    <w:p>
      <w:r>
        <w:rPr>
          <w:rFonts w:ascii="Arial" w:hAnsi="Arial"/>
          <w:b/>
        </w:rPr>
        <w:t xml:space="preserve">Recommendation. </w:t>
      </w:r>
      <w:r>
        <w:rPr>
          <w:rFonts w:ascii="Arial" w:hAnsi="Arial"/>
        </w:rPr>
        <w:t>Use the conservative sentence in the main contribution paragraph and reserve the first-known sentence for the literature review or conclusion. If the abstract needs a first claim, keep every narrowing element. Do not shorten it to first decomposition of welfare inequality or first structural Shapley decomposition.</w:t>
      </w:r>
    </w:p>
    <w:p>
      <w:pPr>
        <w:pStyle w:val="Heading2"/>
      </w:pPr>
      <w:r>
        <w:rPr>
          <w:rFonts w:ascii="Arial" w:hAnsi="Arial"/>
        </w:rPr>
        <w:t>One sentence literature positioning</w:t>
      </w:r>
    </w:p>
    <w:p>
      <w:r>
        <w:rPr>
          <w:rFonts w:ascii="Arial" w:hAnsi="Arial"/>
          <w:i/>
          <w:sz w:val="22"/>
        </w:rPr>
        <w:t>Relative to structural microsimulation decompositions of disposable-income inequality, our outcome is household money-metric welfare; relative to RURO welfare studies, our contribution is an all-coalition attribution of welfare inequality across preferences, access, earnings opportunities, and resources or needs.</w:t>
      </w:r>
    </w:p>
    <w:p>
      <w:pPr>
        <w:pStyle w:val="Heading2"/>
      </w:pPr>
      <w:r>
        <w:rPr>
          <w:rFonts w:ascii="Arial" w:hAnsi="Arial"/>
        </w:rPr>
        <w:t>Contribution paragraph for the introduction</w:t>
      </w:r>
    </w:p>
    <w:p>
      <w:r>
        <w:rPr>
          <w:rFonts w:ascii="Arial" w:hAnsi="Arial"/>
        </w:rPr>
        <w:t>The paper combines three previously separate strands. Shapley-Shorrocks and Owen decompositions provide an order-invariant allocation rule for nonlinear distributional statistics. Behavioural microsimulation studies use structural labour-supply models to decompose changes in disposable-income inequality. RURO welfare studies use estimated preferences and job opportunities to evaluate money-metric welfare and equality of opportunity. We join these elements by defining model-consistent equalization operators for preferences, access, earning opportunities, and household resources or needs; recomputing household welfare and its inequality for every coalition; and applying a grouped Shapley-Owen-Shorrocks allocation to the resulting structural game.</w:t>
      </w:r>
    </w:p>
    <w:p>
      <w:pPr>
        <w:pStyle w:val="Heading1"/>
      </w:pPr>
      <w:r>
        <w:rPr>
          <w:rFonts w:ascii="Arial" w:hAnsi="Arial"/>
        </w:rPr>
        <w:t>Ruling E Claims to avoid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3888"/>
            <w:shd w:fill="17365D"/>
            <w:tcMar>
              <w:top w:w="85" w:type="dxa"/>
              <w:start w:w="95" w:type="dxa"/>
              <w:bottom w:w="85" w:type="dxa"/>
              <w:end w:w="95" w:type="dxa"/>
            </w:tcMar>
            <w:vAlign w:val="center"/>
          </w:tcPr>
          <w:p>
            <w:r>
              <w:rPr>
                <w:rFonts w:ascii="Arial" w:hAnsi="Arial"/>
                <w:b/>
                <w:color w:val="FFFFFF"/>
                <w:sz w:val="16"/>
              </w:rPr>
              <w:t>Claim to avoid</w:t>
            </w:r>
          </w:p>
        </w:tc>
        <w:tc>
          <w:tcPr>
            <w:tcW w:type="dxa" w:w="6552"/>
            <w:shd w:fill="17365D"/>
            <w:tcMar>
              <w:top w:w="85" w:type="dxa"/>
              <w:start w:w="95" w:type="dxa"/>
              <w:bottom w:w="85" w:type="dxa"/>
              <w:end w:w="95" w:type="dxa"/>
            </w:tcMar>
            <w:vAlign w:val="center"/>
          </w:tcPr>
          <w:p>
            <w:r>
              <w:rPr>
                <w:rFonts w:ascii="Arial" w:hAnsi="Arial"/>
                <w:b/>
                <w:color w:val="FFFFFF"/>
                <w:sz w:val="16"/>
              </w:rPr>
              <w:t>Why it is unsafe</w:t>
            </w:r>
          </w:p>
        </w:tc>
      </w:tr>
      <w:tr>
        <w:trPr>
          <w:cantSplit/>
        </w:trPr>
        <w:tc>
          <w:tcPr>
            <w:tcW w:type="dxa" w:w="3888"/>
            <w:vAlign w:val="center"/>
            <w:tcMar>
              <w:top w:w="80" w:type="dxa"/>
              <w:start w:w="90" w:type="dxa"/>
              <w:bottom w:w="80" w:type="dxa"/>
              <w:end w:w="90" w:type="dxa"/>
            </w:tcMar>
          </w:tcPr>
          <w:p>
            <w:pPr>
              <w:spacing w:after="0" w:line="240" w:lineRule="auto"/>
            </w:pPr>
            <w:r>
              <w:rPr>
                <w:rFonts w:ascii="Arial" w:hAnsi="Arial"/>
                <w:b/>
                <w:sz w:val="15"/>
              </w:rPr>
              <w:t>First Shapley decomposition of inequality</w:t>
            </w:r>
          </w:p>
        </w:tc>
        <w:tc>
          <w:tcPr>
            <w:tcW w:type="dxa" w:w="6552"/>
            <w:vAlign w:val="center"/>
            <w:tcMar>
              <w:top w:w="80" w:type="dxa"/>
              <w:start w:w="90" w:type="dxa"/>
              <w:bottom w:w="80" w:type="dxa"/>
              <w:end w:w="90" w:type="dxa"/>
            </w:tcMar>
          </w:tcPr>
          <w:p>
            <w:pPr>
              <w:spacing w:after="0" w:line="240" w:lineRule="auto"/>
            </w:pPr>
            <w:r>
              <w:rPr>
                <w:rFonts w:ascii="Arial" w:hAnsi="Arial"/>
                <w:b w:val="0"/>
                <w:sz w:val="15"/>
              </w:rPr>
              <w:t>Shorrocks and a large subsequent literature already establish this.</w:t>
            </w:r>
          </w:p>
        </w:tc>
      </w:tr>
      <w:tr>
        <w:trPr>
          <w:cantSplit/>
        </w:trPr>
        <w:tc>
          <w:tcPr>
            <w:tcW w:type="dxa" w:w="3888"/>
            <w:vAlign w:val="center"/>
            <w:tcMar>
              <w:top w:w="80" w:type="dxa"/>
              <w:start w:w="90" w:type="dxa"/>
              <w:bottom w:w="80" w:type="dxa"/>
              <w:end w:w="90" w:type="dxa"/>
            </w:tcMar>
            <w:shd w:fill="F4F5F7"/>
          </w:tcPr>
          <w:p>
            <w:pPr>
              <w:spacing w:after="0" w:line="240" w:lineRule="auto"/>
            </w:pPr>
            <w:r>
              <w:rPr>
                <w:rFonts w:ascii="Arial" w:hAnsi="Arial"/>
                <w:b/>
                <w:sz w:val="15"/>
              </w:rPr>
              <w:t>First grouped or Owen inequality decomposition</w:t>
            </w:r>
          </w:p>
        </w:tc>
        <w:tc>
          <w:tcPr>
            <w:tcW w:type="dxa" w:w="6552"/>
            <w:vAlign w:val="center"/>
            <w:tcMar>
              <w:top w:w="80" w:type="dxa"/>
              <w:start w:w="90" w:type="dxa"/>
              <w:bottom w:w="80" w:type="dxa"/>
              <w:end w:w="90" w:type="dxa"/>
            </w:tcMar>
            <w:shd w:fill="F4F5F7"/>
          </w:tcPr>
          <w:p>
            <w:pPr>
              <w:spacing w:after="0" w:line="240" w:lineRule="auto"/>
            </w:pPr>
            <w:r>
              <w:rPr>
                <w:rFonts w:ascii="Arial" w:hAnsi="Arial"/>
                <w:b w:val="0"/>
                <w:sz w:val="15"/>
              </w:rPr>
              <w:t>Owen grouping and its application to inequality decomposition are established.</w:t>
            </w:r>
          </w:p>
        </w:tc>
      </w:tr>
      <w:tr>
        <w:trPr>
          <w:cantSplit/>
        </w:trPr>
        <w:tc>
          <w:tcPr>
            <w:tcW w:type="dxa" w:w="3888"/>
            <w:vAlign w:val="center"/>
            <w:tcMar>
              <w:top w:w="80" w:type="dxa"/>
              <w:start w:w="90" w:type="dxa"/>
              <w:bottom w:w="80" w:type="dxa"/>
              <w:end w:w="90" w:type="dxa"/>
            </w:tcMar>
          </w:tcPr>
          <w:p>
            <w:pPr>
              <w:spacing w:after="0" w:line="240" w:lineRule="auto"/>
            </w:pPr>
            <w:r>
              <w:rPr>
                <w:rFonts w:ascii="Arial" w:hAnsi="Arial"/>
                <w:b/>
                <w:sz w:val="15"/>
              </w:rPr>
              <w:t>First Shapley decomposition of money metric welfare inequality</w:t>
            </w:r>
          </w:p>
        </w:tc>
        <w:tc>
          <w:tcPr>
            <w:tcW w:type="dxa" w:w="6552"/>
            <w:vAlign w:val="center"/>
            <w:tcMar>
              <w:top w:w="80" w:type="dxa"/>
              <w:start w:w="90" w:type="dxa"/>
              <w:bottom w:w="80" w:type="dxa"/>
              <w:end w:w="90" w:type="dxa"/>
            </w:tcMar>
          </w:tcPr>
          <w:p>
            <w:pPr>
              <w:spacing w:after="0" w:line="240" w:lineRule="auto"/>
            </w:pPr>
            <w:r>
              <w:rPr>
                <w:rFonts w:ascii="Arial" w:hAnsi="Arial"/>
                <w:b w:val="0"/>
                <w:sz w:val="15"/>
              </w:rPr>
              <w:t>Creedy and Hérault provide a direct two-factor precedent.</w:t>
            </w:r>
          </w:p>
        </w:tc>
      </w:tr>
      <w:tr>
        <w:trPr>
          <w:cantSplit/>
        </w:trPr>
        <w:tc>
          <w:tcPr>
            <w:tcW w:type="dxa" w:w="3888"/>
            <w:vAlign w:val="center"/>
            <w:tcMar>
              <w:top w:w="80" w:type="dxa"/>
              <w:start w:w="90" w:type="dxa"/>
              <w:bottom w:w="80" w:type="dxa"/>
              <w:end w:w="90" w:type="dxa"/>
            </w:tcMar>
            <w:shd w:fill="F4F5F7"/>
          </w:tcPr>
          <w:p>
            <w:pPr>
              <w:spacing w:after="0" w:line="240" w:lineRule="auto"/>
            </w:pPr>
            <w:r>
              <w:rPr>
                <w:rFonts w:ascii="Arial" w:hAnsi="Arial"/>
                <w:b/>
                <w:sz w:val="15"/>
              </w:rPr>
              <w:t>First structural labour supply Shapley decomposition</w:t>
            </w:r>
          </w:p>
        </w:tc>
        <w:tc>
          <w:tcPr>
            <w:tcW w:type="dxa" w:w="6552"/>
            <w:vAlign w:val="center"/>
            <w:tcMar>
              <w:top w:w="80" w:type="dxa"/>
              <w:start w:w="90" w:type="dxa"/>
              <w:bottom w:w="80" w:type="dxa"/>
              <w:end w:w="90" w:type="dxa"/>
            </w:tcMar>
            <w:shd w:fill="F4F5F7"/>
          </w:tcPr>
          <w:p>
            <w:pPr>
              <w:spacing w:after="0" w:line="240" w:lineRule="auto"/>
            </w:pPr>
            <w:r>
              <w:rPr>
                <w:rFonts w:ascii="Arial" w:hAnsi="Arial"/>
                <w:b w:val="0"/>
                <w:sz w:val="15"/>
              </w:rPr>
              <w:t>Bargain, Jessen, and especially Mühlhan provide direct precedents for income inequality.</w:t>
            </w:r>
          </w:p>
        </w:tc>
      </w:tr>
      <w:tr>
        <w:trPr>
          <w:cantSplit/>
        </w:trPr>
        <w:tc>
          <w:tcPr>
            <w:tcW w:type="dxa" w:w="3888"/>
            <w:vAlign w:val="center"/>
            <w:tcMar>
              <w:top w:w="80" w:type="dxa"/>
              <w:start w:w="90" w:type="dxa"/>
              <w:bottom w:w="80" w:type="dxa"/>
              <w:end w:w="90" w:type="dxa"/>
            </w:tcMar>
          </w:tcPr>
          <w:p>
            <w:pPr>
              <w:spacing w:after="0" w:line="240" w:lineRule="auto"/>
            </w:pPr>
            <w:r>
              <w:rPr>
                <w:rFonts w:ascii="Arial" w:hAnsi="Arial"/>
                <w:b/>
                <w:sz w:val="15"/>
              </w:rPr>
              <w:t>First RURO welfare analysis</w:t>
            </w:r>
          </w:p>
        </w:tc>
        <w:tc>
          <w:tcPr>
            <w:tcW w:type="dxa" w:w="6552"/>
            <w:vAlign w:val="center"/>
            <w:tcMar>
              <w:top w:w="80" w:type="dxa"/>
              <w:start w:w="90" w:type="dxa"/>
              <w:bottom w:w="80" w:type="dxa"/>
              <w:end w:w="90" w:type="dxa"/>
            </w:tcMar>
          </w:tcPr>
          <w:p>
            <w:pPr>
              <w:spacing w:after="0" w:line="240" w:lineRule="auto"/>
            </w:pPr>
            <w:r>
              <w:rPr>
                <w:rFonts w:ascii="Arial" w:hAnsi="Arial"/>
                <w:b w:val="0"/>
                <w:sz w:val="15"/>
              </w:rPr>
              <w:t>Aaberge-Colombino, Jia-Thoresen, de Mahieu, Rees et al., Colombino-Islam, and Green-Sonnewald precede it.</w:t>
            </w:r>
          </w:p>
        </w:tc>
      </w:tr>
      <w:tr>
        <w:trPr>
          <w:cantSplit/>
        </w:trPr>
        <w:tc>
          <w:tcPr>
            <w:tcW w:type="dxa" w:w="3888"/>
            <w:vAlign w:val="center"/>
            <w:tcMar>
              <w:top w:w="80" w:type="dxa"/>
              <w:start w:w="90" w:type="dxa"/>
              <w:bottom w:w="80" w:type="dxa"/>
              <w:end w:w="90" w:type="dxa"/>
            </w:tcMar>
            <w:shd w:fill="F4F5F7"/>
          </w:tcPr>
          <w:p>
            <w:pPr>
              <w:spacing w:after="0" w:line="240" w:lineRule="auto"/>
            </w:pPr>
            <w:r>
              <w:rPr>
                <w:rFonts w:ascii="Arial" w:hAnsi="Arial"/>
                <w:b/>
                <w:sz w:val="15"/>
              </w:rPr>
              <w:t>First to distinguish preferences from opportunities in welfare</w:t>
            </w:r>
          </w:p>
        </w:tc>
        <w:tc>
          <w:tcPr>
            <w:tcW w:type="dxa" w:w="6552"/>
            <w:vAlign w:val="center"/>
            <w:tcMar>
              <w:top w:w="80" w:type="dxa"/>
              <w:start w:w="90" w:type="dxa"/>
              <w:bottom w:w="80" w:type="dxa"/>
              <w:end w:w="90" w:type="dxa"/>
            </w:tcMar>
            <w:shd w:fill="F4F5F7"/>
          </w:tcPr>
          <w:p>
            <w:pPr>
              <w:spacing w:after="0" w:line="240" w:lineRule="auto"/>
            </w:pPr>
            <w:r>
              <w:rPr>
                <w:rFonts w:ascii="Arial" w:hAnsi="Arial"/>
                <w:b w:val="0"/>
                <w:sz w:val="15"/>
              </w:rPr>
              <w:t>Aaberge-Colombino, Decoster-Haan, Jia-Thoresen, Jacquet et al., Ooghe et al., and Piacquadio are prior art.</w:t>
            </w:r>
          </w:p>
        </w:tc>
      </w:tr>
      <w:tr>
        <w:trPr>
          <w:cantSplit/>
        </w:trPr>
        <w:tc>
          <w:tcPr>
            <w:tcW w:type="dxa" w:w="3888"/>
            <w:vAlign w:val="center"/>
            <w:tcMar>
              <w:top w:w="80" w:type="dxa"/>
              <w:start w:w="90" w:type="dxa"/>
              <w:bottom w:w="80" w:type="dxa"/>
              <w:end w:w="90" w:type="dxa"/>
            </w:tcMar>
          </w:tcPr>
          <w:p>
            <w:pPr>
              <w:spacing w:after="0" w:line="240" w:lineRule="auto"/>
            </w:pPr>
            <w:r>
              <w:rPr>
                <w:rFonts w:ascii="Arial" w:hAnsi="Arial"/>
                <w:b/>
                <w:sz w:val="15"/>
              </w:rPr>
              <w:t>First opportunity-sensitive welfare measure</w:t>
            </w:r>
          </w:p>
        </w:tc>
        <w:tc>
          <w:tcPr>
            <w:tcW w:type="dxa" w:w="6552"/>
            <w:vAlign w:val="center"/>
            <w:tcMar>
              <w:top w:w="80" w:type="dxa"/>
              <w:start w:w="90" w:type="dxa"/>
              <w:bottom w:w="80" w:type="dxa"/>
              <w:end w:w="90" w:type="dxa"/>
            </w:tcMar>
          </w:tcPr>
          <w:p>
            <w:pPr>
              <w:spacing w:after="0" w:line="240" w:lineRule="auto"/>
            </w:pPr>
            <w:r>
              <w:rPr>
                <w:rFonts w:ascii="Arial" w:hAnsi="Arial"/>
                <w:b w:val="0"/>
                <w:sz w:val="15"/>
              </w:rPr>
              <w:t>The theoretical and empirical fairness literature is broader than this paper.</w:t>
            </w:r>
          </w:p>
        </w:tc>
      </w:tr>
      <w:tr>
        <w:trPr>
          <w:cantSplit/>
        </w:trPr>
        <w:tc>
          <w:tcPr>
            <w:tcW w:type="dxa" w:w="3888"/>
            <w:vAlign w:val="center"/>
            <w:tcMar>
              <w:top w:w="80" w:type="dxa"/>
              <w:start w:w="90" w:type="dxa"/>
              <w:bottom w:w="80" w:type="dxa"/>
              <w:end w:w="90" w:type="dxa"/>
            </w:tcMar>
            <w:shd w:fill="F4F5F7"/>
          </w:tcPr>
          <w:p>
            <w:pPr>
              <w:spacing w:after="0" w:line="240" w:lineRule="auto"/>
            </w:pPr>
            <w:r>
              <w:rPr>
                <w:rFonts w:ascii="Arial" w:hAnsi="Arial"/>
                <w:b/>
                <w:sz w:val="15"/>
              </w:rPr>
              <w:t>The shares are causal effects</w:t>
            </w:r>
          </w:p>
        </w:tc>
        <w:tc>
          <w:tcPr>
            <w:tcW w:type="dxa" w:w="6552"/>
            <w:vAlign w:val="center"/>
            <w:tcMar>
              <w:top w:w="80" w:type="dxa"/>
              <w:start w:w="90" w:type="dxa"/>
              <w:bottom w:w="80" w:type="dxa"/>
              <w:end w:w="90" w:type="dxa"/>
            </w:tcMar>
            <w:shd w:fill="F4F5F7"/>
          </w:tcPr>
          <w:p>
            <w:pPr>
              <w:spacing w:after="0" w:line="240" w:lineRule="auto"/>
            </w:pPr>
            <w:r>
              <w:rPr>
                <w:rFonts w:ascii="Arial" w:hAnsi="Arial"/>
                <w:b w:val="0"/>
                <w:sz w:val="15"/>
              </w:rPr>
              <w:t>Unless additional identification supports causal interventions, the shares are structural accounting allocations conditional on the model.</w:t>
            </w:r>
          </w:p>
        </w:tc>
      </w:tr>
      <w:tr>
        <w:trPr>
          <w:cantSplit/>
        </w:trPr>
        <w:tc>
          <w:tcPr>
            <w:tcW w:type="dxa" w:w="3888"/>
            <w:vAlign w:val="center"/>
            <w:tcMar>
              <w:top w:w="80" w:type="dxa"/>
              <w:start w:w="90" w:type="dxa"/>
              <w:bottom w:w="80" w:type="dxa"/>
              <w:end w:w="90" w:type="dxa"/>
            </w:tcMar>
          </w:tcPr>
          <w:p>
            <w:pPr>
              <w:spacing w:after="0" w:line="240" w:lineRule="auto"/>
            </w:pPr>
            <w:r>
              <w:rPr>
                <w:rFonts w:ascii="Arial" w:hAnsi="Arial"/>
                <w:b/>
                <w:sz w:val="15"/>
              </w:rPr>
              <w:t>The decomposition is unique</w:t>
            </w:r>
          </w:p>
        </w:tc>
        <w:tc>
          <w:tcPr>
            <w:tcW w:type="dxa" w:w="6552"/>
            <w:vAlign w:val="center"/>
            <w:tcMar>
              <w:top w:w="80" w:type="dxa"/>
              <w:start w:w="90" w:type="dxa"/>
              <w:bottom w:w="80" w:type="dxa"/>
              <w:end w:w="90" w:type="dxa"/>
            </w:tcMar>
          </w:tcPr>
          <w:p>
            <w:pPr>
              <w:spacing w:after="0" w:line="240" w:lineRule="auto"/>
            </w:pPr>
            <w:r>
              <w:rPr>
                <w:rFonts w:ascii="Arial" w:hAnsi="Arial"/>
                <w:b w:val="0"/>
                <w:sz w:val="15"/>
              </w:rPr>
              <w:t>The Shapley value is unique under its axioms for a fixed game; the game itself depends on the baseline, reference welfare metric, equalization operator and grouping.</w:t>
            </w:r>
          </w:p>
        </w:tc>
      </w:tr>
      <w:tr>
        <w:trPr>
          <w:cantSplit/>
        </w:trPr>
        <w:tc>
          <w:tcPr>
            <w:tcW w:type="dxa" w:w="3888"/>
            <w:vAlign w:val="center"/>
            <w:tcMar>
              <w:top w:w="80" w:type="dxa"/>
              <w:start w:w="90" w:type="dxa"/>
              <w:bottom w:w="80" w:type="dxa"/>
              <w:end w:w="90" w:type="dxa"/>
            </w:tcMar>
            <w:shd w:fill="F4F5F7"/>
          </w:tcPr>
          <w:p>
            <w:pPr>
              <w:spacing w:after="0" w:line="240" w:lineRule="auto"/>
            </w:pPr>
            <w:r>
              <w:rPr>
                <w:rFonts w:ascii="Arial" w:hAnsi="Arial"/>
                <w:b/>
                <w:sz w:val="15"/>
              </w:rPr>
              <w:t>The factors are additive sources of welfare</w:t>
            </w:r>
          </w:p>
        </w:tc>
        <w:tc>
          <w:tcPr>
            <w:tcW w:type="dxa" w:w="6552"/>
            <w:vAlign w:val="center"/>
            <w:tcMar>
              <w:top w:w="80" w:type="dxa"/>
              <w:start w:w="90" w:type="dxa"/>
              <w:bottom w:w="80" w:type="dxa"/>
              <w:end w:w="90" w:type="dxa"/>
            </w:tcMar>
            <w:shd w:fill="F4F5F7"/>
          </w:tcPr>
          <w:p>
            <w:pPr>
              <w:spacing w:after="0" w:line="240" w:lineRule="auto"/>
            </w:pPr>
            <w:r>
              <w:rPr>
                <w:rFonts w:ascii="Arial" w:hAnsi="Arial"/>
                <w:b w:val="0"/>
                <w:sz w:val="15"/>
              </w:rPr>
              <w:t>Shapley allocates interactions; it does not establish separability or remove normative dependence.</w:t>
            </w:r>
          </w:p>
        </w:tc>
      </w:tr>
      <w:tr>
        <w:trPr>
          <w:cantSplit/>
        </w:trPr>
        <w:tc>
          <w:tcPr>
            <w:tcW w:type="dxa" w:w="3888"/>
            <w:vAlign w:val="center"/>
            <w:tcMar>
              <w:top w:w="80" w:type="dxa"/>
              <w:start w:w="90" w:type="dxa"/>
              <w:bottom w:w="80" w:type="dxa"/>
              <w:end w:w="90" w:type="dxa"/>
            </w:tcMar>
          </w:tcPr>
          <w:p>
            <w:pPr>
              <w:spacing w:after="0" w:line="240" w:lineRule="auto"/>
            </w:pPr>
            <w:r>
              <w:rPr>
                <w:rFonts w:ascii="Arial" w:hAnsi="Arial"/>
                <w:b/>
                <w:sz w:val="15"/>
              </w:rPr>
              <w:t>Access and wages are separately identified without qualification</w:t>
            </w:r>
          </w:p>
        </w:tc>
        <w:tc>
          <w:tcPr>
            <w:tcW w:type="dxa" w:w="6552"/>
            <w:vAlign w:val="center"/>
            <w:tcMar>
              <w:top w:w="80" w:type="dxa"/>
              <w:start w:w="90" w:type="dxa"/>
              <w:bottom w:w="80" w:type="dxa"/>
              <w:end w:w="90" w:type="dxa"/>
            </w:tcMar>
          </w:tcPr>
          <w:p>
            <w:pPr>
              <w:spacing w:after="0" w:line="240" w:lineRule="auto"/>
            </w:pPr>
            <w:r>
              <w:rPr>
                <w:rFonts w:ascii="Arial" w:hAnsi="Arial"/>
                <w:b w:val="0"/>
                <w:sz w:val="15"/>
              </w:rPr>
              <w:t>The paper must explain which data and restrictions distinguish the numerosity or composition of job offers from wage heterogeneity.</w:t>
            </w:r>
          </w:p>
        </w:tc>
      </w:tr>
      <w:tr>
        <w:trPr>
          <w:cantSplit/>
        </w:trPr>
        <w:tc>
          <w:tcPr>
            <w:tcW w:type="dxa" w:w="3888"/>
            <w:vAlign w:val="center"/>
            <w:tcMar>
              <w:top w:w="80" w:type="dxa"/>
              <w:start w:w="90" w:type="dxa"/>
              <w:bottom w:w="80" w:type="dxa"/>
              <w:end w:w="90" w:type="dxa"/>
            </w:tcMar>
            <w:shd w:fill="F4F5F7"/>
          </w:tcPr>
          <w:p>
            <w:pPr>
              <w:spacing w:after="0" w:line="240" w:lineRule="auto"/>
            </w:pPr>
            <w:r>
              <w:rPr>
                <w:rFonts w:ascii="Arial" w:hAnsi="Arial"/>
                <w:b/>
                <w:sz w:val="15"/>
              </w:rPr>
              <w:t>The result is general equilibrium</w:t>
            </w:r>
          </w:p>
        </w:tc>
        <w:tc>
          <w:tcPr>
            <w:tcW w:type="dxa" w:w="6552"/>
            <w:vAlign w:val="center"/>
            <w:tcMar>
              <w:top w:w="80" w:type="dxa"/>
              <w:start w:w="90" w:type="dxa"/>
              <w:bottom w:w="80" w:type="dxa"/>
              <w:end w:w="90" w:type="dxa"/>
            </w:tcMar>
            <w:shd w:fill="F4F5F7"/>
          </w:tcPr>
          <w:p>
            <w:pPr>
              <w:spacing w:after="0" w:line="240" w:lineRule="auto"/>
            </w:pPr>
            <w:r>
              <w:rPr>
                <w:rFonts w:ascii="Arial" w:hAnsi="Arial"/>
                <w:b w:val="0"/>
                <w:sz w:val="15"/>
              </w:rPr>
              <w:t>Use partial-equilibrium language unless wages, job creation, fiscal balance and market clearing are solved jointly.</w:t>
            </w:r>
          </w:p>
        </w:tc>
      </w:tr>
    </w:tbl>
    <w:p>
      <w:pPr>
        <w:spacing w:after="0"/>
      </w:pPr>
    </w:p>
    <w:p>
      <w:r>
        <w:rPr>
          <w:rFonts w:ascii="Arial" w:hAnsi="Arial"/>
        </w:rPr>
        <w:br w:type="page"/>
      </w:r>
    </w:p>
    <w:p>
      <w:pPr>
        <w:pStyle w:val="Heading1"/>
      </w:pPr>
      <w:r>
        <w:rPr>
          <w:rFonts w:ascii="Arial" w:hAnsi="Arial"/>
        </w:rPr>
        <w:t>Identification and robustness conditions for the novelty claim</w:t>
      </w:r>
    </w:p>
    <w:p>
      <w:r>
        <w:rPr>
          <w:rFonts w:ascii="Arial" w:hAnsi="Arial"/>
        </w:rPr>
        <w:t>The paper's claim will be more persuasive if the implementation makes the following choices visible. These are not extra novelty requirements; they are the conditions under which the operator contribution can be assessed rather than treated as relabelled reweighting.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520"/>
            <w:shd w:fill="17365D"/>
            <w:tcMar>
              <w:top w:w="85" w:type="dxa"/>
              <w:start w:w="95" w:type="dxa"/>
              <w:bottom w:w="85" w:type="dxa"/>
              <w:end w:w="95" w:type="dxa"/>
            </w:tcMar>
            <w:vAlign w:val="center"/>
          </w:tcPr>
          <w:p>
            <w:r>
              <w:rPr>
                <w:rFonts w:ascii="Arial" w:hAnsi="Arial"/>
                <w:b/>
                <w:color w:val="FFFFFF"/>
                <w:sz w:val="16"/>
              </w:rPr>
              <w:t>Issue</w:t>
            </w:r>
          </w:p>
        </w:tc>
        <w:tc>
          <w:tcPr>
            <w:tcW w:type="dxa" w:w="7920"/>
            <w:shd w:fill="17365D"/>
            <w:tcMar>
              <w:top w:w="85" w:type="dxa"/>
              <w:start w:w="95" w:type="dxa"/>
              <w:bottom w:w="85" w:type="dxa"/>
              <w:end w:w="95" w:type="dxa"/>
            </w:tcMar>
            <w:vAlign w:val="center"/>
          </w:tcPr>
          <w:p>
            <w:r>
              <w:rPr>
                <w:rFonts w:ascii="Arial" w:hAnsi="Arial"/>
                <w:b/>
                <w:color w:val="FFFFFF"/>
                <w:sz w:val="16"/>
              </w:rPr>
              <w:t>What the paper should disclose</w:t>
            </w:r>
          </w:p>
        </w:tc>
      </w:tr>
      <w:tr>
        <w:trPr>
          <w:cantSplit/>
        </w:trPr>
        <w:tc>
          <w:tcPr>
            <w:tcW w:type="dxa" w:w="2520"/>
            <w:vAlign w:val="center"/>
            <w:tcMar>
              <w:top w:w="80" w:type="dxa"/>
              <w:start w:w="90" w:type="dxa"/>
              <w:bottom w:w="80" w:type="dxa"/>
              <w:end w:w="90" w:type="dxa"/>
            </w:tcMar>
          </w:tcPr>
          <w:p>
            <w:pPr>
              <w:spacing w:after="0" w:line="240" w:lineRule="auto"/>
            </w:pPr>
            <w:r>
              <w:rPr>
                <w:rFonts w:ascii="Arial" w:hAnsi="Arial"/>
                <w:b/>
                <w:sz w:val="15"/>
              </w:rPr>
              <w:t>Reference welfare metric</w:t>
            </w:r>
          </w:p>
        </w:tc>
        <w:tc>
          <w:tcPr>
            <w:tcW w:type="dxa" w:w="7920"/>
            <w:vAlign w:val="center"/>
            <w:tcMar>
              <w:top w:w="80" w:type="dxa"/>
              <w:start w:w="90" w:type="dxa"/>
              <w:bottom w:w="80" w:type="dxa"/>
              <w:end w:w="90" w:type="dxa"/>
            </w:tcMar>
          </w:tcPr>
          <w:p>
            <w:pPr>
              <w:spacing w:after="0" w:line="240" w:lineRule="auto"/>
            </w:pPr>
            <w:r>
              <w:rPr>
                <w:rFonts w:ascii="Arial" w:hAnsi="Arial"/>
                <w:b w:val="0"/>
                <w:sz w:val="15"/>
              </w:rPr>
              <w:t>Fix the reference prices, reference wage or preference ordering, treatment of random utility, and household equivalence or needs scale. Show whether rankings and shares change under plausible alternatives.</w:t>
            </w:r>
          </w:p>
        </w:tc>
      </w:tr>
      <w:tr>
        <w:trPr>
          <w:cantSplit/>
        </w:trPr>
        <w:tc>
          <w:tcPr>
            <w:tcW w:type="dxa" w:w="2520"/>
            <w:vAlign w:val="center"/>
            <w:tcMar>
              <w:top w:w="80" w:type="dxa"/>
              <w:start w:w="90" w:type="dxa"/>
              <w:bottom w:w="80" w:type="dxa"/>
              <w:end w:w="90" w:type="dxa"/>
            </w:tcMar>
            <w:shd w:fill="F4F5F7"/>
          </w:tcPr>
          <w:p>
            <w:pPr>
              <w:spacing w:after="0" w:line="240" w:lineRule="auto"/>
            </w:pPr>
            <w:r>
              <w:rPr>
                <w:rFonts w:ascii="Arial" w:hAnsi="Arial"/>
                <w:b/>
                <w:sz w:val="15"/>
              </w:rPr>
              <w:t>Equalization target</w:t>
            </w:r>
          </w:p>
        </w:tc>
        <w:tc>
          <w:tcPr>
            <w:tcW w:type="dxa" w:w="7920"/>
            <w:vAlign w:val="center"/>
            <w:tcMar>
              <w:top w:w="80" w:type="dxa"/>
              <w:start w:w="90" w:type="dxa"/>
              <w:bottom w:w="80" w:type="dxa"/>
              <w:end w:w="90" w:type="dxa"/>
            </w:tcMar>
            <w:shd w:fill="F4F5F7"/>
          </w:tcPr>
          <w:p>
            <w:pPr>
              <w:spacing w:after="0" w:line="240" w:lineRule="auto"/>
            </w:pPr>
            <w:r>
              <w:rPr>
                <w:rFonts w:ascii="Arial" w:hAnsi="Arial"/>
                <w:b w:val="0"/>
                <w:sz w:val="15"/>
              </w:rPr>
              <w:t>State whether each operator sets a parameter, a predicted distribution, a rank, a latent draw, or a conditional distribution to a common reference.</w:t>
            </w:r>
          </w:p>
        </w:tc>
      </w:tr>
      <w:tr>
        <w:trPr>
          <w:cantSplit/>
        </w:trPr>
        <w:tc>
          <w:tcPr>
            <w:tcW w:type="dxa" w:w="2520"/>
            <w:vAlign w:val="center"/>
            <w:tcMar>
              <w:top w:w="80" w:type="dxa"/>
              <w:start w:w="90" w:type="dxa"/>
              <w:bottom w:w="80" w:type="dxa"/>
              <w:end w:w="90" w:type="dxa"/>
            </w:tcMar>
          </w:tcPr>
          <w:p>
            <w:pPr>
              <w:spacing w:after="0" w:line="240" w:lineRule="auto"/>
            </w:pPr>
            <w:r>
              <w:rPr>
                <w:rFonts w:ascii="Arial" w:hAnsi="Arial"/>
                <w:b/>
                <w:sz w:val="15"/>
              </w:rPr>
              <w:t>Joint dependence</w:t>
            </w:r>
          </w:p>
        </w:tc>
        <w:tc>
          <w:tcPr>
            <w:tcW w:type="dxa" w:w="7920"/>
            <w:vAlign w:val="center"/>
            <w:tcMar>
              <w:top w:w="80" w:type="dxa"/>
              <w:start w:w="90" w:type="dxa"/>
              <w:bottom w:w="80" w:type="dxa"/>
              <w:end w:w="90" w:type="dxa"/>
            </w:tcMar>
          </w:tcPr>
          <w:p>
            <w:pPr>
              <w:spacing w:after="0" w:line="240" w:lineRule="auto"/>
            </w:pPr>
            <w:r>
              <w:rPr>
                <w:rFonts w:ascii="Arial" w:hAnsi="Arial"/>
                <w:b w:val="0"/>
                <w:sz w:val="15"/>
              </w:rPr>
              <w:t>Explain whether equalizing one factor preserves its empirical dependence with the others. Report sensitivity to independent resampling versus conditional or rank-preserving transformations.</w:t>
            </w:r>
          </w:p>
        </w:tc>
      </w:tr>
      <w:tr>
        <w:trPr>
          <w:cantSplit/>
        </w:trPr>
        <w:tc>
          <w:tcPr>
            <w:tcW w:type="dxa" w:w="2520"/>
            <w:vAlign w:val="center"/>
            <w:tcMar>
              <w:top w:w="80" w:type="dxa"/>
              <w:start w:w="90" w:type="dxa"/>
              <w:bottom w:w="80" w:type="dxa"/>
              <w:end w:w="90" w:type="dxa"/>
            </w:tcMar>
            <w:shd w:fill="F4F5F7"/>
          </w:tcPr>
          <w:p>
            <w:pPr>
              <w:spacing w:after="0" w:line="240" w:lineRule="auto"/>
            </w:pPr>
            <w:r>
              <w:rPr>
                <w:rFonts w:ascii="Arial" w:hAnsi="Arial"/>
                <w:b/>
                <w:sz w:val="15"/>
              </w:rPr>
              <w:t>Access and wages</w:t>
            </w:r>
          </w:p>
        </w:tc>
        <w:tc>
          <w:tcPr>
            <w:tcW w:type="dxa" w:w="7920"/>
            <w:vAlign w:val="center"/>
            <w:tcMar>
              <w:top w:w="80" w:type="dxa"/>
              <w:start w:w="90" w:type="dxa"/>
              <w:bottom w:w="80" w:type="dxa"/>
              <w:end w:w="90" w:type="dxa"/>
            </w:tcMar>
            <w:shd w:fill="F4F5F7"/>
          </w:tcPr>
          <w:p>
            <w:pPr>
              <w:spacing w:after="0" w:line="240" w:lineRule="auto"/>
            </w:pPr>
            <w:r>
              <w:rPr>
                <w:rFonts w:ascii="Arial" w:hAnsi="Arial"/>
                <w:b w:val="0"/>
                <w:sz w:val="15"/>
              </w:rPr>
              <w:t>Show the exclusion restrictions or data variation that identify job availability separately from wages and preferences. Clarify whether occupation access is extensive, intensive, or compositional.</w:t>
            </w:r>
          </w:p>
        </w:tc>
      </w:tr>
      <w:tr>
        <w:trPr>
          <w:cantSplit/>
        </w:trPr>
        <w:tc>
          <w:tcPr>
            <w:tcW w:type="dxa" w:w="2520"/>
            <w:vAlign w:val="center"/>
            <w:tcMar>
              <w:top w:w="80" w:type="dxa"/>
              <w:start w:w="90" w:type="dxa"/>
              <w:bottom w:w="80" w:type="dxa"/>
              <w:end w:w="90" w:type="dxa"/>
            </w:tcMar>
          </w:tcPr>
          <w:p>
            <w:pPr>
              <w:spacing w:after="0" w:line="240" w:lineRule="auto"/>
            </w:pPr>
            <w:r>
              <w:rPr>
                <w:rFonts w:ascii="Arial" w:hAnsi="Arial"/>
                <w:b/>
                <w:sz w:val="15"/>
              </w:rPr>
              <w:t>Household resources and needs</w:t>
            </w:r>
          </w:p>
        </w:tc>
        <w:tc>
          <w:tcPr>
            <w:tcW w:type="dxa" w:w="7920"/>
            <w:vAlign w:val="center"/>
            <w:tcMar>
              <w:top w:w="80" w:type="dxa"/>
              <w:start w:w="90" w:type="dxa"/>
              <w:bottom w:w="80" w:type="dxa"/>
              <w:end w:w="90" w:type="dxa"/>
            </w:tcMar>
          </w:tcPr>
          <w:p>
            <w:pPr>
              <w:spacing w:after="0" w:line="240" w:lineRule="auto"/>
            </w:pPr>
            <w:r>
              <w:rPr>
                <w:rFonts w:ascii="Arial" w:hAnsi="Arial"/>
                <w:b w:val="0"/>
                <w:sz w:val="15"/>
              </w:rPr>
              <w:t>Separate cash and non-labour resources from normative needs adjustments where possible. These enter welfare differently and may warrant subgroups under D.</w:t>
            </w:r>
          </w:p>
        </w:tc>
      </w:tr>
      <w:tr>
        <w:trPr>
          <w:cantSplit/>
        </w:trPr>
        <w:tc>
          <w:tcPr>
            <w:tcW w:type="dxa" w:w="2520"/>
            <w:vAlign w:val="center"/>
            <w:tcMar>
              <w:top w:w="80" w:type="dxa"/>
              <w:start w:w="90" w:type="dxa"/>
              <w:bottom w:w="80" w:type="dxa"/>
              <w:end w:w="90" w:type="dxa"/>
            </w:tcMar>
            <w:shd w:fill="F4F5F7"/>
          </w:tcPr>
          <w:p>
            <w:pPr>
              <w:spacing w:after="0" w:line="240" w:lineRule="auto"/>
            </w:pPr>
            <w:r>
              <w:rPr>
                <w:rFonts w:ascii="Arial" w:hAnsi="Arial"/>
                <w:b/>
                <w:sz w:val="15"/>
              </w:rPr>
              <w:t>Choice recomputation</w:t>
            </w:r>
          </w:p>
        </w:tc>
        <w:tc>
          <w:tcPr>
            <w:tcW w:type="dxa" w:w="7920"/>
            <w:vAlign w:val="center"/>
            <w:tcMar>
              <w:top w:w="80" w:type="dxa"/>
              <w:start w:w="90" w:type="dxa"/>
              <w:bottom w:w="80" w:type="dxa"/>
              <w:end w:w="90" w:type="dxa"/>
            </w:tcMar>
            <w:shd w:fill="F4F5F7"/>
          </w:tcPr>
          <w:p>
            <w:pPr>
              <w:spacing w:after="0" w:line="240" w:lineRule="auto"/>
            </w:pPr>
            <w:r>
              <w:rPr>
                <w:rFonts w:ascii="Arial" w:hAnsi="Arial"/>
                <w:b w:val="0"/>
                <w:sz w:val="15"/>
              </w:rPr>
              <w:t>For every coalition, resolve the household problem. Avoid plugging counterfactual inputs into the welfare formula while retaining baseline choices unless that shortcut is theoretically justified.</w:t>
            </w:r>
          </w:p>
        </w:tc>
      </w:tr>
      <w:tr>
        <w:trPr>
          <w:cantSplit/>
        </w:trPr>
        <w:tc>
          <w:tcPr>
            <w:tcW w:type="dxa" w:w="2520"/>
            <w:vAlign w:val="center"/>
            <w:tcMar>
              <w:top w:w="80" w:type="dxa"/>
              <w:start w:w="90" w:type="dxa"/>
              <w:bottom w:w="80" w:type="dxa"/>
              <w:end w:w="90" w:type="dxa"/>
            </w:tcMar>
          </w:tcPr>
          <w:p>
            <w:pPr>
              <w:spacing w:after="0" w:line="240" w:lineRule="auto"/>
            </w:pPr>
            <w:r>
              <w:rPr>
                <w:rFonts w:ascii="Arial" w:hAnsi="Arial"/>
                <w:b/>
                <w:sz w:val="15"/>
              </w:rPr>
              <w:t>Random terms</w:t>
            </w:r>
          </w:p>
        </w:tc>
        <w:tc>
          <w:tcPr>
            <w:tcW w:type="dxa" w:w="7920"/>
            <w:vAlign w:val="center"/>
            <w:tcMar>
              <w:top w:w="80" w:type="dxa"/>
              <w:start w:w="90" w:type="dxa"/>
              <w:bottom w:w="80" w:type="dxa"/>
              <w:end w:w="90" w:type="dxa"/>
            </w:tcMar>
          </w:tcPr>
          <w:p>
            <w:pPr>
              <w:spacing w:after="0" w:line="240" w:lineRule="auto"/>
            </w:pPr>
            <w:r>
              <w:rPr>
                <w:rFonts w:ascii="Arial" w:hAnsi="Arial"/>
                <w:b w:val="0"/>
                <w:sz w:val="15"/>
              </w:rPr>
              <w:t>Describe whether welfare is ex ante expected, conditional on simulated draws, or integrated over taste and opportunity shocks. Use common random numbers across coalitions to reduce simulation noise.</w:t>
            </w:r>
          </w:p>
        </w:tc>
      </w:tr>
      <w:tr>
        <w:trPr>
          <w:cantSplit/>
        </w:trPr>
        <w:tc>
          <w:tcPr>
            <w:tcW w:type="dxa" w:w="2520"/>
            <w:vAlign w:val="center"/>
            <w:tcMar>
              <w:top w:w="80" w:type="dxa"/>
              <w:start w:w="90" w:type="dxa"/>
              <w:bottom w:w="80" w:type="dxa"/>
              <w:end w:w="90" w:type="dxa"/>
            </w:tcMar>
            <w:shd w:fill="F4F5F7"/>
          </w:tcPr>
          <w:p>
            <w:pPr>
              <w:spacing w:after="0" w:line="240" w:lineRule="auto"/>
            </w:pPr>
            <w:r>
              <w:rPr>
                <w:rFonts w:ascii="Arial" w:hAnsi="Arial"/>
                <w:b/>
                <w:sz w:val="15"/>
              </w:rPr>
              <w:t>Grouping</w:t>
            </w:r>
          </w:p>
        </w:tc>
        <w:tc>
          <w:tcPr>
            <w:tcW w:type="dxa" w:w="7920"/>
            <w:vAlign w:val="center"/>
            <w:tcMar>
              <w:top w:w="80" w:type="dxa"/>
              <w:start w:w="90" w:type="dxa"/>
              <w:bottom w:w="80" w:type="dxa"/>
              <w:end w:w="90" w:type="dxa"/>
            </w:tcMar>
            <w:shd w:fill="F4F5F7"/>
          </w:tcPr>
          <w:p>
            <w:pPr>
              <w:spacing w:after="0" w:line="240" w:lineRule="auto"/>
            </w:pPr>
            <w:r>
              <w:rPr>
                <w:rFonts w:ascii="Arial" w:hAnsi="Arial"/>
                <w:b w:val="0"/>
                <w:sz w:val="15"/>
              </w:rPr>
              <w:t>Report both group shares and, if used, within-group allocations. State whether the Owen value, nested Shapley, or another coalition structure is implemented.</w:t>
            </w:r>
          </w:p>
        </w:tc>
      </w:tr>
      <w:tr>
        <w:trPr>
          <w:cantSplit/>
        </w:trPr>
        <w:tc>
          <w:tcPr>
            <w:tcW w:type="dxa" w:w="2520"/>
            <w:vAlign w:val="center"/>
            <w:tcMar>
              <w:top w:w="80" w:type="dxa"/>
              <w:start w:w="90" w:type="dxa"/>
              <w:bottom w:w="80" w:type="dxa"/>
              <w:end w:w="90" w:type="dxa"/>
            </w:tcMar>
          </w:tcPr>
          <w:p>
            <w:pPr>
              <w:spacing w:after="0" w:line="240" w:lineRule="auto"/>
            </w:pPr>
            <w:r>
              <w:rPr>
                <w:rFonts w:ascii="Arial" w:hAnsi="Arial"/>
                <w:b/>
                <w:sz w:val="15"/>
              </w:rPr>
              <w:t>Baseline dependence</w:t>
            </w:r>
          </w:p>
        </w:tc>
        <w:tc>
          <w:tcPr>
            <w:tcW w:type="dxa" w:w="7920"/>
            <w:vAlign w:val="center"/>
            <w:tcMar>
              <w:top w:w="80" w:type="dxa"/>
              <w:start w:w="90" w:type="dxa"/>
              <w:bottom w:w="80" w:type="dxa"/>
              <w:end w:w="90" w:type="dxa"/>
            </w:tcMar>
          </w:tcPr>
          <w:p>
            <w:pPr>
              <w:spacing w:after="0" w:line="240" w:lineRule="auto"/>
            </w:pPr>
            <w:r>
              <w:rPr>
                <w:rFonts w:ascii="Arial" w:hAnsi="Arial"/>
                <w:b w:val="0"/>
                <w:sz w:val="15"/>
              </w:rPr>
              <w:t>Report at least one alternative reference household or equalization baseline. A first-known operator architecture can be novel even when numerical shares are baseline-sensitive.</w:t>
            </w:r>
          </w:p>
        </w:tc>
      </w:tr>
      <w:tr>
        <w:trPr>
          <w:cantSplit/>
        </w:trPr>
        <w:tc>
          <w:tcPr>
            <w:tcW w:type="dxa" w:w="2520"/>
            <w:vAlign w:val="center"/>
            <w:tcMar>
              <w:top w:w="80" w:type="dxa"/>
              <w:start w:w="90" w:type="dxa"/>
              <w:bottom w:w="80" w:type="dxa"/>
              <w:end w:w="90" w:type="dxa"/>
            </w:tcMar>
            <w:shd w:fill="F4F5F7"/>
          </w:tcPr>
          <w:p>
            <w:pPr>
              <w:spacing w:after="0" w:line="240" w:lineRule="auto"/>
            </w:pPr>
            <w:r>
              <w:rPr>
                <w:rFonts w:ascii="Arial" w:hAnsi="Arial"/>
                <w:b/>
                <w:sz w:val="15"/>
              </w:rPr>
              <w:t>Uncertainty</w:t>
            </w:r>
          </w:p>
        </w:tc>
        <w:tc>
          <w:tcPr>
            <w:tcW w:type="dxa" w:w="7920"/>
            <w:vAlign w:val="center"/>
            <w:tcMar>
              <w:top w:w="80" w:type="dxa"/>
              <w:start w:w="90" w:type="dxa"/>
              <w:bottom w:w="80" w:type="dxa"/>
              <w:end w:w="90" w:type="dxa"/>
            </w:tcMar>
            <w:shd w:fill="F4F5F7"/>
          </w:tcPr>
          <w:p>
            <w:pPr>
              <w:spacing w:after="0" w:line="240" w:lineRule="auto"/>
            </w:pPr>
            <w:r>
              <w:rPr>
                <w:rFonts w:ascii="Arial" w:hAnsi="Arial"/>
                <w:b w:val="0"/>
                <w:sz w:val="15"/>
              </w:rPr>
              <w:t>Bootstrap or otherwise propagate estimation and simulation uncertainty through the full decomposition. Report add-up error and Monte Carlo error.</w:t>
            </w:r>
          </w:p>
        </w:tc>
      </w:tr>
    </w:tbl>
    <w:p>
      <w:pPr>
        <w:spacing w:after="0"/>
      </w:pPr>
    </w:p>
    <w:p>
      <w:pPr>
        <w:pStyle w:val="Heading1"/>
      </w:pPr>
      <w:r>
        <w:rPr>
          <w:rFonts w:ascii="Arial" w:hAnsi="Arial"/>
        </w:rPr>
        <w:t>Recommended contribution hierarchy</w:t>
      </w:r>
    </w:p>
    <w:p>
      <w:pPr>
        <w:pStyle w:val="ListNumber"/>
      </w:pPr>
      <w:r>
        <w:rPr>
          <w:rFonts w:ascii="Arial" w:hAnsi="Arial"/>
        </w:rPr>
        <w:t>Primary contribution: the opportunity-sensitive money-metric welfare distribution and its structural P/A/B/D counterfactual game inside RURO.</w:t>
      </w:r>
    </w:p>
    <w:p>
      <w:pPr>
        <w:pStyle w:val="ListNumber"/>
      </w:pPr>
      <w:r>
        <w:rPr>
          <w:rFonts w:ascii="Arial" w:hAnsi="Arial"/>
        </w:rPr>
        <w:t>Secondary contribution: full recomputation of household choice and welfare for every coalition, making interactions explicit rather than using a local or plug-in approximation.</w:t>
      </w:r>
    </w:p>
    <w:p>
      <w:pPr>
        <w:pStyle w:val="ListNumber"/>
      </w:pPr>
      <w:r>
        <w:rPr>
          <w:rFonts w:ascii="Arial" w:hAnsi="Arial"/>
        </w:rPr>
        <w:t>Tertiary contribution: the grouped Shapley-Owen-Shorrocks summary of that game, presented as an established allocation device adapted to the new structural object.</w:t>
      </w:r>
    </w:p>
    <w:p>
      <w:r>
        <w:rPr>
          <w:rFonts w:ascii="Arial" w:hAnsi="Arial"/>
          <w:b/>
        </w:rPr>
        <w:t xml:space="preserve">Why this hierarchy matters. </w:t>
      </w:r>
      <w:r>
        <w:rPr>
          <w:rFonts w:ascii="Arial" w:hAnsi="Arial"/>
        </w:rPr>
        <w:t>It prevents the paper's novelty from resting on an algorithm that referees will recognize immediately. It also makes clear that the contribution survives if a referee prefers a different inequality index or requests alternative Shapley baselines: those changes affect the empirical allocation, while the new object is the structural welfare game.</w:t>
      </w:r>
    </w:p>
    <w:p>
      <w:pPr>
        <w:pStyle w:val="Heading1"/>
      </w:pPr>
      <w:r>
        <w:rPr>
          <w:rFonts w:ascii="Arial" w:hAnsi="Arial"/>
        </w:rPr>
        <w:t>Overall ruling</w:t>
      </w:r>
    </w:p>
    <w:p>
      <w:r>
        <w:rPr>
          <w:rFonts w:ascii="Arial" w:hAnsi="Arial"/>
          <w:b/>
          <w:color w:val="17365D"/>
          <w:sz w:val="28"/>
        </w:rPr>
        <w:t>Defensible with narrow wording</w:t>
      </w:r>
    </w:p>
    <w:p>
      <w:r>
        <w:rPr>
          <w:rFonts w:ascii="Arial" w:hAnsi="Arial"/>
        </w:rPr>
        <w:t>The proposed paper is not first in any broad component category. It sits at an unoccupied intersection identified by the audit: RURO estimation of preferences and household-specific latent job opportunities; a household distribution of opportunity-sensitive money-metric welfare; separate equalization of P, A, B and D; complete coalition-level recomputation of welfare and inequality; and grouped Shapley-Owen-Shorrocks attribution. That intersection supports a qualified first-known claim, subject to the paper making its operator definitions and identification assumptions explicit.</w:t>
      </w:r>
    </w:p>
    <w:p>
      <w:pPr>
        <w:pStyle w:val="Heading1"/>
      </w:pPr>
      <w:r>
        <w:rPr>
          <w:rFonts w:ascii="Arial" w:hAnsi="Arial"/>
        </w:rPr>
        <w:t>Search method and scope</w:t>
      </w:r>
    </w:p>
    <w:p>
      <w:r>
        <w:rPr>
          <w:rFonts w:ascii="Arial" w:hAnsi="Arial"/>
        </w:rPr>
        <w:t>The audit followed citation chains and targeted searches across six literatures: cooperative-game inequality decomposition; behavioural tax-benefit microsimulation; structural labour supply and RURO job choice; equivalent income and money-metric utility; fairness and opportunity-sensitive welfare; and empirical inequality of opportunity. Searches combined terms for Shapley, Owen, Shorrocks, equivalent income, money-metric utility, preferences, job access, latent jobs, random opportunities, full counterfactual recomputation, labour supply, and welfare inequality. Priority was given to journal articles, working-paper versions hosted by institutions, and original methodological papers.</w:t>
      </w:r>
    </w:p>
    <w:p>
      <w:r>
        <w:rPr>
          <w:rFonts w:ascii="Arial" w:hAnsi="Arial"/>
        </w:rPr>
        <w:t>The ruling is a literature assessment through 9 September 2026, not a proof of universal priority. Working papers, unpublished manuscripts, papers under different terminology, and contemporaneous research can escape even a broad search. The recommended language therefore uses to our knowledge and defines the claimed intersection precisely.</w:t>
      </w:r>
    </w:p>
    <w:p>
      <w:pPr>
        <w:pStyle w:val="Heading1"/>
      </w:pPr>
      <w:r>
        <w:rPr>
          <w:rFonts w:ascii="Arial" w:hAnsi="Arial"/>
        </w:rPr>
        <w:t>Numbered source notes</w:t>
      </w:r>
    </w:p>
    <w:p>
      <w:pPr>
        <w:spacing w:after="60"/>
        <w:ind w:left="403" w:hanging="403"/>
      </w:pPr>
      <w:r>
        <w:rPr>
          <w:rFonts w:ascii="Arial" w:hAnsi="Arial"/>
        </w:rPr>
        <w:t>1. Shapley 1953; Owen 1977; Shorrocks 2013.</w:t>
      </w:r>
    </w:p>
    <w:p>
      <w:pPr>
        <w:spacing w:after="60"/>
        <w:ind w:left="403" w:hanging="403"/>
      </w:pPr>
      <w:r>
        <w:rPr>
          <w:rFonts w:ascii="Arial" w:hAnsi="Arial"/>
        </w:rPr>
        <w:t>2. Sastre and Trannoy 2002; Chantreuil and Trannoy 2013.</w:t>
      </w:r>
    </w:p>
    <w:p>
      <w:pPr>
        <w:spacing w:after="60"/>
        <w:ind w:left="403" w:hanging="403"/>
      </w:pPr>
      <w:r>
        <w:rPr>
          <w:rFonts w:ascii="Arial" w:hAnsi="Arial"/>
        </w:rPr>
        <w:t>3. Audoly, McGee, Ocampo, and Paz-Pardo 2025.</w:t>
      </w:r>
    </w:p>
    <w:p>
      <w:pPr>
        <w:spacing w:after="60"/>
        <w:ind w:left="403" w:hanging="403"/>
      </w:pPr>
      <w:r>
        <w:rPr>
          <w:rFonts w:ascii="Arial" w:hAnsi="Arial"/>
        </w:rPr>
        <w:t>4. Creedy and Herault 2011, especially section 5 on money-metric utility.</w:t>
      </w:r>
    </w:p>
    <w:p>
      <w:pPr>
        <w:spacing w:after="60"/>
        <w:ind w:left="403" w:hanging="403"/>
      </w:pPr>
      <w:r>
        <w:rPr>
          <w:rFonts w:ascii="Arial" w:hAnsi="Arial"/>
        </w:rPr>
        <w:t>5. Bargain 2012; Jessen 2019; Muhlhan 2023.</w:t>
      </w:r>
    </w:p>
    <w:p>
      <w:pPr>
        <w:spacing w:after="60"/>
        <w:ind w:left="403" w:hanging="403"/>
      </w:pPr>
      <w:r>
        <w:rPr>
          <w:rFonts w:ascii="Arial" w:hAnsi="Arial"/>
        </w:rPr>
        <w:t>6. Aaberge, Dagsvik, and Strom 1995; Aaberge and Colombino 2013.</w:t>
      </w:r>
    </w:p>
    <w:p>
      <w:pPr>
        <w:spacing w:after="60"/>
        <w:ind w:left="403" w:hanging="403"/>
      </w:pPr>
      <w:r>
        <w:rPr>
          <w:rFonts w:ascii="Arial" w:hAnsi="Arial"/>
        </w:rPr>
        <w:t>7. Aaberge, Dagsvik, and Strom 1989; Decoster and Haan 2015; Bargain et al. 2013.</w:t>
      </w:r>
    </w:p>
    <w:p>
      <w:pPr>
        <w:spacing w:after="60"/>
        <w:ind w:left="403" w:hanging="403"/>
      </w:pPr>
      <w:r>
        <w:rPr>
          <w:rFonts w:ascii="Arial" w:hAnsi="Arial"/>
        </w:rPr>
        <w:t>8. Jia and Thoresen 2021; Jacquet, Jia, and Thoresen 2026.</w:t>
      </w:r>
    </w:p>
    <w:p>
      <w:pPr>
        <w:spacing w:after="60"/>
        <w:ind w:left="403" w:hanging="403"/>
      </w:pPr>
      <w:r>
        <w:rPr>
          <w:rFonts w:ascii="Arial" w:hAnsi="Arial"/>
        </w:rPr>
        <w:t>9. de Mahieu 2021; Rees, Thoresen, and Vatto 2023; Colombino and Islam 2025; Green and Sonnewald 2025.</w:t>
      </w:r>
    </w:p>
    <w:p>
      <w:pPr>
        <w:spacing w:after="60"/>
        <w:ind w:left="403" w:hanging="403"/>
      </w:pPr>
      <w:r>
        <w:rPr>
          <w:rFonts w:ascii="Arial" w:hAnsi="Arial"/>
        </w:rPr>
        <w:t>10. Ooghe, Schokkaert, and Serruys 2025; Piacquadio 2026.</w:t>
      </w:r>
    </w:p>
    <w:p>
      <w:pPr>
        <w:spacing w:after="60"/>
        <w:ind w:left="403" w:hanging="403"/>
      </w:pPr>
      <w:r>
        <w:rPr>
          <w:rFonts w:ascii="Arial" w:hAnsi="Arial"/>
        </w:rPr>
        <w:t>11. Bourguignon, Ferreira, and Menendez 2007; Ferreira and Gignoux 2011; Azevedo, Sanfelice, and Nguyen 2012.</w:t>
      </w:r>
    </w:p>
    <w:p>
      <w:pPr>
        <w:spacing w:after="60"/>
        <w:ind w:left="403" w:hanging="403"/>
      </w:pPr>
      <w:r>
        <w:rPr>
          <w:rFonts w:ascii="Arial" w:hAnsi="Arial"/>
        </w:rPr>
        <w:t>12. Bergstrom and Dodds 2020.</w:t>
      </w:r>
    </w:p>
    <w:p>
      <w:pPr>
        <w:spacing w:after="60"/>
        <w:ind w:left="403" w:hanging="403"/>
      </w:pPr>
      <w:r>
        <w:rPr>
          <w:rFonts w:ascii="Arial" w:hAnsi="Arial"/>
        </w:rPr>
        <w:t>13. The first-known ruling is conditional on the search scope and date stated in this report.</w:t>
      </w:r>
    </w:p>
    <w:p>
      <w:pPr>
        <w:spacing w:after="60"/>
        <w:ind w:left="403" w:hanging="403"/>
      </w:pPr>
      <w:r>
        <w:rPr>
          <w:rFonts w:ascii="Arial" w:hAnsi="Arial"/>
        </w:rPr>
        <w:t>14. The proposed wording should be updated if the paper's implemented operators or welfare object differ from the description audited here.</w:t>
      </w:r>
    </w:p>
    <w:p>
      <w:pPr>
        <w:pStyle w:val="Heading1"/>
      </w:pPr>
      <w:r>
        <w:rPr>
          <w:rFonts w:ascii="Arial" w:hAnsi="Arial"/>
        </w:rPr>
        <w:t>Sources</w:t>
      </w:r>
    </w:p>
    <w:p>
      <w:pPr>
        <w:spacing w:after="100"/>
        <w:ind w:left="403" w:hanging="403"/>
      </w:pPr>
      <w:r>
        <w:rPr>
          <w:rFonts w:ascii="Arial" w:hAnsi="Arial"/>
          <w:sz w:val="18"/>
        </w:rPr>
        <w:t xml:space="preserve">1. Shapley, Lloyd S. 1953. A Value for n-Person Games. In Contributions to the Theory of Games II, 307-317. </w:t>
      </w:r>
      <w:hyperlink r:id="rId10">
        <w:r>
          <w:rPr>
            <w:rFonts w:ascii="Arial" w:hAnsi="Arial"/>
            <w:color w:val="17365D"/>
            <w:u w:val="single"/>
          </w:rPr>
          <w:t>https://doi.org/10.1515/9781400881970-018</w:t>
        </w:r>
      </w:hyperlink>
    </w:p>
    <w:p>
      <w:pPr>
        <w:spacing w:after="100"/>
        <w:ind w:left="403" w:hanging="403"/>
      </w:pPr>
      <w:r>
        <w:rPr>
          <w:rFonts w:ascii="Arial" w:hAnsi="Arial"/>
          <w:sz w:val="18"/>
        </w:rPr>
        <w:t xml:space="preserve">2. Owen, Guillermo. 1977. Values of Games with A Priori Unions. In Mathematical Economics and Game Theory, 76-88. </w:t>
      </w:r>
      <w:hyperlink r:id="rId11">
        <w:r>
          <w:rPr>
            <w:rFonts w:ascii="Arial" w:hAnsi="Arial"/>
            <w:color w:val="17365D"/>
            <w:u w:val="single"/>
          </w:rPr>
          <w:t>https://doi.org/10.1007/978-3-642-45494-3_7</w:t>
        </w:r>
      </w:hyperlink>
    </w:p>
    <w:p>
      <w:pPr>
        <w:spacing w:after="100"/>
        <w:ind w:left="403" w:hanging="403"/>
      </w:pPr>
      <w:r>
        <w:rPr>
          <w:rFonts w:ascii="Arial" w:hAnsi="Arial"/>
          <w:sz w:val="18"/>
        </w:rPr>
        <w:t xml:space="preserve">3. Shorrocks, Anthony F. 2013. Decomposition Procedures for Distributional Analysis: A Unified Framework Based on the Shapley Value. Journal of Economic Inequality 11: 99-126. </w:t>
      </w:r>
      <w:hyperlink r:id="rId12">
        <w:r>
          <w:rPr>
            <w:rFonts w:ascii="Arial" w:hAnsi="Arial"/>
            <w:color w:val="17365D"/>
            <w:u w:val="single"/>
          </w:rPr>
          <w:t>https://doi.org/10.1007/s10888-011-9214-z</w:t>
        </w:r>
      </w:hyperlink>
    </w:p>
    <w:p>
      <w:pPr>
        <w:spacing w:after="100"/>
        <w:ind w:left="403" w:hanging="403"/>
      </w:pPr>
      <w:r>
        <w:rPr>
          <w:rFonts w:ascii="Arial" w:hAnsi="Arial"/>
          <w:sz w:val="18"/>
        </w:rPr>
        <w:t xml:space="preserve">4. Sastre, Mercedes, and Alain Trannoy. 2002. Shapley Inequality Decomposition by Factor Components: Some Methodological Issues. Journal of Economics 77: 51-89. </w:t>
      </w:r>
      <w:hyperlink r:id="rId13">
        <w:r>
          <w:rPr>
            <w:rFonts w:ascii="Arial" w:hAnsi="Arial"/>
            <w:color w:val="17365D"/>
            <w:u w:val="single"/>
          </w:rPr>
          <w:t>https://doi.org/10.1007/BF03052500</w:t>
        </w:r>
      </w:hyperlink>
    </w:p>
    <w:p>
      <w:pPr>
        <w:spacing w:after="100"/>
        <w:ind w:left="403" w:hanging="403"/>
      </w:pPr>
      <w:r>
        <w:rPr>
          <w:rFonts w:ascii="Arial" w:hAnsi="Arial"/>
          <w:sz w:val="18"/>
        </w:rPr>
        <w:t xml:space="preserve">5. Chantreuil, Frederic, and Alain Trannoy. 2013. Inequality Decomposition Values: The Trade-off between Marginality and Efficiency. Journal of Economic Inequality 11: 83-98. </w:t>
      </w:r>
      <w:hyperlink r:id="rId14">
        <w:r>
          <w:rPr>
            <w:rFonts w:ascii="Arial" w:hAnsi="Arial"/>
            <w:color w:val="17365D"/>
            <w:u w:val="single"/>
          </w:rPr>
          <w:t>https://doi.org/10.1007/s10888-011-9207-y</w:t>
        </w:r>
      </w:hyperlink>
    </w:p>
    <w:p>
      <w:pPr>
        <w:spacing w:after="100"/>
        <w:ind w:left="403" w:hanging="403"/>
      </w:pPr>
      <w:r>
        <w:rPr>
          <w:rFonts w:ascii="Arial" w:hAnsi="Arial"/>
          <w:sz w:val="18"/>
        </w:rPr>
        <w:t xml:space="preserve">6. Audoly, Richard, Rory McGee, Sergio Ocampo, and Gonzalo Paz-Pardo. 2025. A Practitioner's Note on the Shapley-Owen-Shorrocks Decomposition. FRBNY Staff Report 1163. </w:t>
      </w:r>
      <w:hyperlink r:id="rId15">
        <w:r>
          <w:rPr>
            <w:rFonts w:ascii="Arial" w:hAnsi="Arial"/>
            <w:color w:val="17365D"/>
            <w:u w:val="single"/>
          </w:rPr>
          <w:t>https://doi.org/10.59576/sr.1163</w:t>
        </w:r>
      </w:hyperlink>
    </w:p>
    <w:p>
      <w:pPr>
        <w:spacing w:after="100"/>
        <w:ind w:left="403" w:hanging="403"/>
      </w:pPr>
      <w:r>
        <w:rPr>
          <w:rFonts w:ascii="Arial" w:hAnsi="Arial"/>
          <w:sz w:val="18"/>
        </w:rPr>
        <w:t xml:space="preserve">7. Creedy, John, and Nicolas Herault. 2011. Decomposing Inequality and Social Welfare Changes: The Use of Alternative Welfare Metrics. Melbourne Institute Working Paper 8/11. </w:t>
      </w:r>
      <w:hyperlink r:id="rId16">
        <w:r>
          <w:rPr>
            <w:rFonts w:ascii="Arial" w:hAnsi="Arial"/>
            <w:color w:val="17365D"/>
            <w:u w:val="single"/>
          </w:rPr>
          <w:t>https://melbourneinstitute.unimelb.edu.au/downloads/working-paper-series/old-wp/2011/wp2011n08.pdf</w:t>
        </w:r>
      </w:hyperlink>
    </w:p>
    <w:p>
      <w:pPr>
        <w:spacing w:after="100"/>
        <w:ind w:left="403" w:hanging="403"/>
      </w:pPr>
      <w:r>
        <w:rPr>
          <w:rFonts w:ascii="Arial" w:hAnsi="Arial"/>
          <w:sz w:val="18"/>
        </w:rPr>
        <w:t xml:space="preserve">8. Bargain, Olivier. 2012. Back to the Future: Decomposition Analysis of Distributive Policies Using Behavioural Simulations. International Tax and Public Finance 19: 708-731. </w:t>
      </w:r>
      <w:hyperlink r:id="rId17">
        <w:r>
          <w:rPr>
            <w:rFonts w:ascii="Arial" w:hAnsi="Arial"/>
            <w:color w:val="17365D"/>
            <w:u w:val="single"/>
          </w:rPr>
          <w:t>https://doi.org/10.1007/s10797-011-9203-y</w:t>
        </w:r>
      </w:hyperlink>
    </w:p>
    <w:p>
      <w:pPr>
        <w:spacing w:after="100"/>
        <w:ind w:left="403" w:hanging="403"/>
      </w:pPr>
      <w:r>
        <w:rPr>
          <w:rFonts w:ascii="Arial" w:hAnsi="Arial"/>
          <w:sz w:val="18"/>
        </w:rPr>
        <w:t xml:space="preserve">9. Jessen, Robin. 2019. Why Has Income Inequality in Germany Increased from 2002 to 2011? A Behavioral Microsimulation Decomposition. Review of Income and Wealth 65: 540-560. </w:t>
      </w:r>
      <w:hyperlink r:id="rId18">
        <w:r>
          <w:rPr>
            <w:rFonts w:ascii="Arial" w:hAnsi="Arial"/>
            <w:color w:val="17365D"/>
            <w:u w:val="single"/>
          </w:rPr>
          <w:t>https://doi.org/10.1111/roiw.12397</w:t>
        </w:r>
      </w:hyperlink>
    </w:p>
    <w:p>
      <w:pPr>
        <w:spacing w:after="100"/>
        <w:ind w:left="403" w:hanging="403"/>
      </w:pPr>
      <w:r>
        <w:rPr>
          <w:rFonts w:ascii="Arial" w:hAnsi="Arial"/>
          <w:sz w:val="18"/>
        </w:rPr>
        <w:t xml:space="preserve">10. Muhlhan, Jannek. 2023. The German Job Miracle and Its Impact on Income Inequality: A Decomposition Study. International Journal of Microsimulation 16: 28-64. </w:t>
      </w:r>
      <w:hyperlink r:id="rId19">
        <w:r>
          <w:rPr>
            <w:rFonts w:ascii="Arial" w:hAnsi="Arial"/>
            <w:color w:val="17365D"/>
            <w:u w:val="single"/>
          </w:rPr>
          <w:t>https://doi.org/10.34196/ijm.00274</w:t>
        </w:r>
      </w:hyperlink>
    </w:p>
    <w:p>
      <w:pPr>
        <w:spacing w:after="100"/>
        <w:ind w:left="403" w:hanging="403"/>
      </w:pPr>
      <w:r>
        <w:rPr>
          <w:rFonts w:ascii="Arial" w:hAnsi="Arial"/>
          <w:sz w:val="18"/>
        </w:rPr>
        <w:t xml:space="preserve">11. Bourguignon, Francois, Francisco H. G. Ferreira, and Phillippe G. Leite. 2008. Beyond Oaxaca-Blinder: Accounting for Differences in Household Income Distributions across Countries. Journal of Economic Inequality 6: 117-148. </w:t>
      </w:r>
      <w:hyperlink r:id="rId20">
        <w:r>
          <w:rPr>
            <w:rFonts w:ascii="Arial" w:hAnsi="Arial"/>
            <w:color w:val="17365D"/>
            <w:u w:val="single"/>
          </w:rPr>
          <w:t>https://doi.org/10.1007/s10888-007-9063-y</w:t>
        </w:r>
      </w:hyperlink>
    </w:p>
    <w:p>
      <w:pPr>
        <w:spacing w:after="100"/>
        <w:ind w:left="403" w:hanging="403"/>
      </w:pPr>
      <w:r>
        <w:rPr>
          <w:rFonts w:ascii="Arial" w:hAnsi="Arial"/>
          <w:sz w:val="18"/>
        </w:rPr>
        <w:t xml:space="preserve">12. Aaberge, Rolf, John K. Dagsvik, and Steinar Strom. 1989. Labour Supply, Welfare Rankings and the Measurement of Inequality. Journal of Public Economics 39: 335-364. </w:t>
      </w:r>
      <w:hyperlink r:id="rId21">
        <w:r>
          <w:rPr>
            <w:rFonts w:ascii="Arial" w:hAnsi="Arial"/>
            <w:color w:val="17365D"/>
            <w:u w:val="single"/>
          </w:rPr>
          <w:t>https://doi.org/10.1016/0047-2727(89)90033-9</w:t>
        </w:r>
      </w:hyperlink>
    </w:p>
    <w:p>
      <w:pPr>
        <w:spacing w:after="100"/>
        <w:ind w:left="403" w:hanging="403"/>
      </w:pPr>
      <w:r>
        <w:rPr>
          <w:rFonts w:ascii="Arial" w:hAnsi="Arial"/>
          <w:sz w:val="18"/>
        </w:rPr>
        <w:t xml:space="preserve">13. Aaberge, Rolf, John K. Dagsvik, and Steinar Strom. 1995. Labor Supply Responses and Welfare Effects of Tax Reforms. Scandinavian Journal of Economics 97: 635-659. </w:t>
      </w:r>
      <w:hyperlink r:id="rId22">
        <w:r>
          <w:rPr>
            <w:rFonts w:ascii="Arial" w:hAnsi="Arial"/>
            <w:color w:val="17365D"/>
            <w:u w:val="single"/>
          </w:rPr>
          <w:t>https://doi.org/10.2307/3440547</w:t>
        </w:r>
      </w:hyperlink>
    </w:p>
    <w:p>
      <w:pPr>
        <w:spacing w:after="100"/>
        <w:ind w:left="403" w:hanging="403"/>
      </w:pPr>
      <w:r>
        <w:rPr>
          <w:rFonts w:ascii="Arial" w:hAnsi="Arial"/>
          <w:sz w:val="18"/>
        </w:rPr>
        <w:t xml:space="preserve">14. Aaberge, Rolf, and Ugo Colombino. 2013. Using a Microeconometric Model of Household Labour Supply to Design Optimal Income Taxes. Scandinavian Journal of Economics 115: 449-475. </w:t>
      </w:r>
      <w:hyperlink r:id="rId23">
        <w:r>
          <w:rPr>
            <w:rFonts w:ascii="Arial" w:hAnsi="Arial"/>
            <w:color w:val="17365D"/>
            <w:u w:val="single"/>
          </w:rPr>
          <w:t>https://doi.org/10.1111/sjoe.12015</w:t>
        </w:r>
      </w:hyperlink>
    </w:p>
    <w:p>
      <w:pPr>
        <w:spacing w:after="100"/>
        <w:ind w:left="403" w:hanging="403"/>
      </w:pPr>
      <w:r>
        <w:rPr>
          <w:rFonts w:ascii="Arial" w:hAnsi="Arial"/>
          <w:sz w:val="18"/>
        </w:rPr>
        <w:t xml:space="preserve">15. Decoster, Andre, and Peter Haan. 2015. Empirical Welfare Analysis with Preference Heterogeneity. International Tax and Public Finance 22: 224-251. </w:t>
      </w:r>
      <w:hyperlink r:id="rId24">
        <w:r>
          <w:rPr>
            <w:rFonts w:ascii="Arial" w:hAnsi="Arial"/>
            <w:color w:val="17365D"/>
            <w:u w:val="single"/>
          </w:rPr>
          <w:t>https://doi.org/10.1007/s10797-014-9304-5</w:t>
        </w:r>
      </w:hyperlink>
    </w:p>
    <w:p>
      <w:pPr>
        <w:spacing w:after="100"/>
        <w:ind w:left="403" w:hanging="403"/>
      </w:pPr>
      <w:r>
        <w:rPr>
          <w:rFonts w:ascii="Arial" w:hAnsi="Arial"/>
          <w:sz w:val="18"/>
        </w:rPr>
        <w:t xml:space="preserve">16. Bargain, Olivier, Andre Decoster, Mathias Dolls, Dirk Neumann, Andreas Peichl, and Sebastian Siegloch. 2013. Welfare, Labor Supply and Heterogeneous Preferences: Evidence for Europe and the US. Social Choice and Welfare 41: 789-817. </w:t>
      </w:r>
      <w:hyperlink r:id="rId25">
        <w:r>
          <w:rPr>
            <w:rFonts w:ascii="Arial" w:hAnsi="Arial"/>
            <w:color w:val="17365D"/>
            <w:u w:val="single"/>
          </w:rPr>
          <w:t>https://doi.org/10.1007/s00355-012-0707-x</w:t>
        </w:r>
      </w:hyperlink>
    </w:p>
    <w:p>
      <w:pPr>
        <w:spacing w:after="100"/>
        <w:ind w:left="403" w:hanging="403"/>
      </w:pPr>
      <w:r>
        <w:rPr>
          <w:rFonts w:ascii="Arial" w:hAnsi="Arial"/>
          <w:sz w:val="18"/>
        </w:rPr>
        <w:t xml:space="preserve">17. Jia, Zhiyang, and Thor O. Thoresen. 2021. Welfare Effects of Tax Policy Change When There Are Choice Restrictions on Labour Supply. Statistics Norway Discussion Paper 959. </w:t>
      </w:r>
      <w:hyperlink r:id="rId26">
        <w:r>
          <w:rPr>
            <w:rFonts w:ascii="Arial" w:hAnsi="Arial"/>
            <w:color w:val="17365D"/>
            <w:u w:val="single"/>
          </w:rPr>
          <w:t>https://www.ssb.no/en/arbeid-og-lonn/sysselsetting/artikler/welfare-effects-of-tax-policy-change-when-there-are-choice-restrictions-on-labour-supply</w:t>
        </w:r>
      </w:hyperlink>
    </w:p>
    <w:p>
      <w:pPr>
        <w:spacing w:after="100"/>
        <w:ind w:left="403" w:hanging="403"/>
      </w:pPr>
      <w:r>
        <w:rPr>
          <w:rFonts w:ascii="Arial" w:hAnsi="Arial"/>
          <w:sz w:val="18"/>
        </w:rPr>
        <w:t xml:space="preserve">18. de Mahieu, Antoine. 2021. In-work Benefits in Belgium: Effects on Labour Supply and Welfare. International Journal of Microsimulation 14: 43-72. </w:t>
      </w:r>
      <w:hyperlink r:id="rId27">
        <w:r>
          <w:rPr>
            <w:rFonts w:ascii="Arial" w:hAnsi="Arial"/>
            <w:color w:val="17365D"/>
            <w:u w:val="single"/>
          </w:rPr>
          <w:t>https://doi.org/10.34196/ijm.00229</w:t>
        </w:r>
      </w:hyperlink>
    </w:p>
    <w:p>
      <w:pPr>
        <w:spacing w:after="100"/>
        <w:ind w:left="403" w:hanging="403"/>
      </w:pPr>
      <w:r>
        <w:rPr>
          <w:rFonts w:ascii="Arial" w:hAnsi="Arial"/>
          <w:sz w:val="18"/>
        </w:rPr>
        <w:t xml:space="preserve">19. Rees, Ray, Thor O. Thoresen, and Trine E. Vatto. 2023. Alternatives to Paying Child Benefit to the Rich: Means-Testing or Higher Tax? Australian Economic Review 56: 328-354. </w:t>
      </w:r>
      <w:hyperlink r:id="rId28">
        <w:r>
          <w:rPr>
            <w:rFonts w:ascii="Arial" w:hAnsi="Arial"/>
            <w:color w:val="17365D"/>
            <w:u w:val="single"/>
          </w:rPr>
          <w:t>https://doi.org/10.1111/1467-8462.12511</w:t>
        </w:r>
      </w:hyperlink>
    </w:p>
    <w:p>
      <w:pPr>
        <w:spacing w:after="100"/>
        <w:ind w:left="403" w:hanging="403"/>
      </w:pPr>
      <w:r>
        <w:rPr>
          <w:rFonts w:ascii="Arial" w:hAnsi="Arial"/>
          <w:sz w:val="18"/>
        </w:rPr>
        <w:t xml:space="preserve">20. Colombino, Ugo, and Nizamul Islam. 2025. Lost Jobs, New Jobs and Optimal Tax-Transfer Reforms. Social Choice and Welfare 64: 765-818. </w:t>
      </w:r>
      <w:hyperlink r:id="rId29">
        <w:r>
          <w:rPr>
            <w:rFonts w:ascii="Arial" w:hAnsi="Arial"/>
            <w:color w:val="17365D"/>
            <w:u w:val="single"/>
          </w:rPr>
          <w:t>https://doi.org/10.1007/s00355-024-01545-y</w:t>
        </w:r>
      </w:hyperlink>
    </w:p>
    <w:p>
      <w:pPr>
        <w:spacing w:after="100"/>
        <w:ind w:left="403" w:hanging="403"/>
      </w:pPr>
      <w:r>
        <w:rPr>
          <w:rFonts w:ascii="Arial" w:hAnsi="Arial"/>
          <w:sz w:val="18"/>
        </w:rPr>
        <w:t xml:space="preserve">21. Green, Rory, and David Sonnewald. 2025. Marginal Personal Income Tax Changes: Tax Revenue, Welfare, and Labour Supply Responses. </w:t>
      </w:r>
      <w:hyperlink r:id="rId30">
        <w:r>
          <w:rPr>
            <w:rFonts w:ascii="Arial" w:hAnsi="Arial"/>
            <w:color w:val="17365D"/>
            <w:u w:val="single"/>
          </w:rPr>
          <w:t>https://davidsonnewald.com/JMP.pdf</w:t>
        </w:r>
      </w:hyperlink>
    </w:p>
    <w:p>
      <w:pPr>
        <w:spacing w:after="100"/>
        <w:ind w:left="403" w:hanging="403"/>
      </w:pPr>
      <w:r>
        <w:rPr>
          <w:rFonts w:ascii="Arial" w:hAnsi="Arial"/>
          <w:sz w:val="18"/>
        </w:rPr>
        <w:t xml:space="preserve">22. Jacquet, Laurence, Zhiyang Jia, and Thor Olav Thoresen. 2026. How Much Does Responsibility Matter in Fairness Measurement? CESifo Working Paper 12418. </w:t>
      </w:r>
      <w:hyperlink r:id="rId31">
        <w:r>
          <w:rPr>
            <w:rFonts w:ascii="Arial" w:hAnsi="Arial"/>
            <w:color w:val="17365D"/>
            <w:u w:val="single"/>
          </w:rPr>
          <w:t>https://doi.org/10.65864/wf42ly1k5t</w:t>
        </w:r>
      </w:hyperlink>
    </w:p>
    <w:p>
      <w:pPr>
        <w:spacing w:after="100"/>
        <w:ind w:left="403" w:hanging="403"/>
      </w:pPr>
      <w:r>
        <w:rPr>
          <w:rFonts w:ascii="Arial" w:hAnsi="Arial"/>
          <w:sz w:val="18"/>
        </w:rPr>
        <w:t xml:space="preserve">23. Ooghe, Erwin, Erik Schokkaert, and Hannes Serruys. 2025. Fairness Gaps for Earnings Tax Design. Journal of Political Economy Microeconomics 3: 25-58. </w:t>
      </w:r>
      <w:hyperlink r:id="rId32">
        <w:r>
          <w:rPr>
            <w:rFonts w:ascii="Arial" w:hAnsi="Arial"/>
            <w:color w:val="17365D"/>
            <w:u w:val="single"/>
          </w:rPr>
          <w:t>https://doi.org/10.1086/732240</w:t>
        </w:r>
      </w:hyperlink>
    </w:p>
    <w:p>
      <w:pPr>
        <w:spacing w:after="100"/>
        <w:ind w:left="403" w:hanging="403"/>
      </w:pPr>
      <w:r>
        <w:rPr>
          <w:rFonts w:ascii="Arial" w:hAnsi="Arial"/>
          <w:sz w:val="18"/>
        </w:rPr>
        <w:t xml:space="preserve">24. Piacquadio, Paolo G. 2026. Lack of Opportunities, Non-Paternalism, and Priority to the Worst Off. Social Choice and Welfare 66: 255-274. </w:t>
      </w:r>
      <w:hyperlink r:id="rId33">
        <w:r>
          <w:rPr>
            <w:rFonts w:ascii="Arial" w:hAnsi="Arial"/>
            <w:color w:val="17365D"/>
            <w:u w:val="single"/>
          </w:rPr>
          <w:t>https://doi.org/10.1007/s00355-025-01603-z</w:t>
        </w:r>
      </w:hyperlink>
    </w:p>
    <w:p>
      <w:pPr>
        <w:spacing w:after="100"/>
        <w:ind w:left="403" w:hanging="403"/>
      </w:pPr>
      <w:r>
        <w:rPr>
          <w:rFonts w:ascii="Arial" w:hAnsi="Arial"/>
          <w:sz w:val="18"/>
        </w:rPr>
        <w:t xml:space="preserve">25. Bergstrom, Katy, and William Dodds. 2020. Using Labor Supply Elasticities to Learn about Income Inequality: The Role of Productivities versus Preferences. World Bank Policy Research Working Paper 9102. </w:t>
      </w:r>
      <w:hyperlink r:id="rId34">
        <w:r>
          <w:rPr>
            <w:rFonts w:ascii="Arial" w:hAnsi="Arial"/>
            <w:color w:val="17365D"/>
            <w:u w:val="single"/>
          </w:rPr>
          <w:t>https://documents.worldbank.org/en/publication/documents-reports/documentdetail/764311578322352997</w:t>
        </w:r>
      </w:hyperlink>
    </w:p>
    <w:p>
      <w:pPr>
        <w:spacing w:after="100"/>
        <w:ind w:left="403" w:hanging="403"/>
      </w:pPr>
      <w:r>
        <w:rPr>
          <w:rFonts w:ascii="Arial" w:hAnsi="Arial"/>
          <w:sz w:val="18"/>
        </w:rPr>
        <w:t xml:space="preserve">26. Bourguignon, Francois, Francisco H. G. Ferreira, and Marta Menendez. 2007. Inequality of Opportunity in Brazil. Review of Income and Wealth 53: 585-618. </w:t>
      </w:r>
      <w:hyperlink r:id="rId35">
        <w:r>
          <w:rPr>
            <w:rFonts w:ascii="Arial" w:hAnsi="Arial"/>
            <w:color w:val="17365D"/>
            <w:u w:val="single"/>
          </w:rPr>
          <w:t>https://doi.org/10.1111/j.1475-4991.2007.00247.x</w:t>
        </w:r>
      </w:hyperlink>
    </w:p>
    <w:p>
      <w:pPr>
        <w:spacing w:after="100"/>
        <w:ind w:left="403" w:hanging="403"/>
      </w:pPr>
      <w:r>
        <w:rPr>
          <w:rFonts w:ascii="Arial" w:hAnsi="Arial"/>
          <w:sz w:val="18"/>
        </w:rPr>
        <w:t xml:space="preserve">27. Ferreira, Francisco H. G., and Jeremie Gignoux. 2011. The Measurement of Inequality of Opportunity: Theory and an Application to Latin America. Review of Income and Wealth 57: 622-657. </w:t>
      </w:r>
      <w:hyperlink r:id="rId36">
        <w:r>
          <w:rPr>
            <w:rFonts w:ascii="Arial" w:hAnsi="Arial"/>
            <w:color w:val="17365D"/>
            <w:u w:val="single"/>
          </w:rPr>
          <w:t>https://doi.org/10.1111/j.1475-4991.2011.00467.x</w:t>
        </w:r>
      </w:hyperlink>
    </w:p>
    <w:p>
      <w:pPr>
        <w:spacing w:after="100"/>
        <w:ind w:left="403" w:hanging="403"/>
      </w:pPr>
      <w:r>
        <w:rPr>
          <w:rFonts w:ascii="Arial" w:hAnsi="Arial"/>
          <w:sz w:val="18"/>
        </w:rPr>
        <w:t xml:space="preserve">28. Azevedo, Joao Pedro, Viviane Sanfelice, and Minh C. Nguyen. 2012. Shapley Decomposition by Components of a Welfare Aggregate. MPRA Paper 85584. </w:t>
      </w:r>
      <w:hyperlink r:id="rId37">
        <w:r>
          <w:rPr>
            <w:rFonts w:ascii="Arial" w:hAnsi="Arial"/>
            <w:color w:val="17365D"/>
            <w:u w:val="single"/>
          </w:rPr>
          <w:t>https://mpra.ub.uni-muenchen.de/85584/</w:t>
        </w:r>
      </w:hyperlink>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8"/>
      </w:rPr>
      <w:t xml:space="preserve">Page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spacing w:after="60"/>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source">
    <w:name w:val="Small source"/>
    <w:pPr>
      <w:spacing w:after="60"/>
    </w:pPr>
    <w:rPr>
      <w:rFonts w:ascii="Arial" w:hAnsi="Arial"/>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515/9781400881970-018" TargetMode="External"/><Relationship Id="rId11" Type="http://schemas.openxmlformats.org/officeDocument/2006/relationships/hyperlink" Target="https://doi.org/10.1007/978-3-642-45494-3_7" TargetMode="External"/><Relationship Id="rId12" Type="http://schemas.openxmlformats.org/officeDocument/2006/relationships/hyperlink" Target="https://doi.org/10.1007/s10888-011-9214-z" TargetMode="External"/><Relationship Id="rId13" Type="http://schemas.openxmlformats.org/officeDocument/2006/relationships/hyperlink" Target="https://doi.org/10.1007/BF03052500" TargetMode="External"/><Relationship Id="rId14" Type="http://schemas.openxmlformats.org/officeDocument/2006/relationships/hyperlink" Target="https://doi.org/10.1007/s10888-011-9207-y" TargetMode="External"/><Relationship Id="rId15" Type="http://schemas.openxmlformats.org/officeDocument/2006/relationships/hyperlink" Target="https://doi.org/10.59576/sr.1163" TargetMode="External"/><Relationship Id="rId16" Type="http://schemas.openxmlformats.org/officeDocument/2006/relationships/hyperlink" Target="https://melbourneinstitute.unimelb.edu.au/downloads/working-paper-series/old-wp/2011/wp2011n08.pdf" TargetMode="External"/><Relationship Id="rId17" Type="http://schemas.openxmlformats.org/officeDocument/2006/relationships/hyperlink" Target="https://doi.org/10.1007/s10797-011-9203-y" TargetMode="External"/><Relationship Id="rId18" Type="http://schemas.openxmlformats.org/officeDocument/2006/relationships/hyperlink" Target="https://doi.org/10.1111/roiw.12397" TargetMode="External"/><Relationship Id="rId19" Type="http://schemas.openxmlformats.org/officeDocument/2006/relationships/hyperlink" Target="https://doi.org/10.34196/ijm.00274" TargetMode="External"/><Relationship Id="rId20" Type="http://schemas.openxmlformats.org/officeDocument/2006/relationships/hyperlink" Target="https://doi.org/10.1007/s10888-007-9063-y" TargetMode="External"/><Relationship Id="rId21" Type="http://schemas.openxmlformats.org/officeDocument/2006/relationships/hyperlink" Target="https://doi.org/10.1016/0047-2727(89)90033-9" TargetMode="External"/><Relationship Id="rId22" Type="http://schemas.openxmlformats.org/officeDocument/2006/relationships/hyperlink" Target="https://doi.org/10.2307/3440547" TargetMode="External"/><Relationship Id="rId23" Type="http://schemas.openxmlformats.org/officeDocument/2006/relationships/hyperlink" Target="https://doi.org/10.1111/sjoe.12015" TargetMode="External"/><Relationship Id="rId24" Type="http://schemas.openxmlformats.org/officeDocument/2006/relationships/hyperlink" Target="https://doi.org/10.1007/s10797-014-9304-5" TargetMode="External"/><Relationship Id="rId25" Type="http://schemas.openxmlformats.org/officeDocument/2006/relationships/hyperlink" Target="https://doi.org/10.1007/s00355-012-0707-x" TargetMode="External"/><Relationship Id="rId26" Type="http://schemas.openxmlformats.org/officeDocument/2006/relationships/hyperlink" Target="https://www.ssb.no/en/arbeid-og-lonn/sysselsetting/artikler/welfare-effects-of-tax-policy-change-when-there-are-choice-restrictions-on-labour-supply" TargetMode="External"/><Relationship Id="rId27" Type="http://schemas.openxmlformats.org/officeDocument/2006/relationships/hyperlink" Target="https://doi.org/10.34196/ijm.00229" TargetMode="External"/><Relationship Id="rId28" Type="http://schemas.openxmlformats.org/officeDocument/2006/relationships/hyperlink" Target="https://doi.org/10.1111/1467-8462.12511" TargetMode="External"/><Relationship Id="rId29" Type="http://schemas.openxmlformats.org/officeDocument/2006/relationships/hyperlink" Target="https://doi.org/10.1007/s00355-024-01545-y" TargetMode="External"/><Relationship Id="rId30" Type="http://schemas.openxmlformats.org/officeDocument/2006/relationships/hyperlink" Target="https://davidsonnewald.com/JMP.pdf" TargetMode="External"/><Relationship Id="rId31" Type="http://schemas.openxmlformats.org/officeDocument/2006/relationships/hyperlink" Target="https://doi.org/10.65864/wf42ly1k5t" TargetMode="External"/><Relationship Id="rId32" Type="http://schemas.openxmlformats.org/officeDocument/2006/relationships/hyperlink" Target="https://doi.org/10.1086/732240" TargetMode="External"/><Relationship Id="rId33" Type="http://schemas.openxmlformats.org/officeDocument/2006/relationships/hyperlink" Target="https://doi.org/10.1007/s00355-025-01603-z" TargetMode="External"/><Relationship Id="rId34" Type="http://schemas.openxmlformats.org/officeDocument/2006/relationships/hyperlink" Target="https://documents.worldbank.org/en/publication/documents-reports/documentdetail/764311578322352997" TargetMode="External"/><Relationship Id="rId35" Type="http://schemas.openxmlformats.org/officeDocument/2006/relationships/hyperlink" Target="https://doi.org/10.1111/j.1475-4991.2007.00247.x" TargetMode="External"/><Relationship Id="rId36" Type="http://schemas.openxmlformats.org/officeDocument/2006/relationships/hyperlink" Target="https://doi.org/10.1111/j.1475-4991.2011.00467.x" TargetMode="External"/><Relationship Id="rId37" Type="http://schemas.openxmlformats.org/officeDocument/2006/relationships/hyperlink" Target="https://mpra.ub.uni-muenchen.de/855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Novelty Audit of Structural Decomposition of Money Metric Well Being Inequality</dc:title>
  <dc:subject>Economics job market paper novelty audit</dc:subject>
  <dc:creator/>
  <cp:keywords>labour supply, RURO, money metric welfare, inequality decomposition, Shapley Owen Shorrocks</cp:keywords>
  <dc:description>generated by python-docx</dc:description>
  <cp:lastModifiedBy/>
  <cp:revision>1</cp:revision>
  <dcterms:created xsi:type="dcterms:W3CDTF">2013-12-23T23:15:00Z</dcterms:created>
  <dcterms:modified xsi:type="dcterms:W3CDTF">2013-12-23T23:15:00Z</dcterms:modified>
  <cp:category/>
</cp:coreProperties>
</file>