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university-examination-schedule-guide"/>
    <w:p>
      <w:pPr>
        <w:pStyle w:val="Heading1"/>
      </w:pPr>
      <w:r>
        <w:t xml:space="preserve">University Examination Schedule Guide</w:t>
      </w:r>
    </w:p>
    <w:p>
      <w:pPr>
        <w:pStyle w:val="FirstParagraph"/>
      </w:pPr>
      <w:r>
        <w:rPr>
          <w:i/>
          <w:iCs/>
        </w:rPr>
        <w:t xml:space="preserve">This is a</w:t>
      </w:r>
      <w:r>
        <w:rPr>
          <w:i/>
          <w:iCs/>
        </w:rPr>
        <w:t xml:space="preserve"> </w:t>
      </w:r>
      <w:r>
        <w:rPr>
          <w:b/>
          <w:bCs/>
          <w:i/>
          <w:iCs/>
        </w:rPr>
        <w:t xml:space="preserve">sample document filled with dummy information</w:t>
      </w:r>
      <w:r>
        <w:rPr>
          <w:i/>
          <w:iCs/>
        </w:rPr>
        <w:t xml:space="preserve"> </w:t>
      </w:r>
      <w:r>
        <w:rPr>
          <w:i/>
          <w:iCs/>
        </w:rPr>
        <w:t xml:space="preserve">for academic formatting and presentation purposes. All dates, venues, and policies are fictional.</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Introduction</w:t>
      </w:r>
      <w:r>
        <w:br/>
      </w:r>
    </w:p>
    <w:p>
      <w:pPr>
        <w:pStyle w:val="Compact"/>
        <w:numPr>
          <w:ilvl w:val="0"/>
          <w:numId w:val="1001"/>
        </w:numPr>
      </w:pPr>
      <w:r>
        <w:t xml:space="preserve">Examination Period Overview</w:t>
      </w:r>
      <w:r>
        <w:br/>
      </w:r>
    </w:p>
    <w:p>
      <w:pPr>
        <w:pStyle w:val="Compact"/>
        <w:numPr>
          <w:ilvl w:val="0"/>
          <w:numId w:val="1001"/>
        </w:numPr>
      </w:pPr>
      <w:r>
        <w:t xml:space="preserve">Examination Timetable Structure</w:t>
      </w:r>
      <w:r>
        <w:br/>
      </w:r>
    </w:p>
    <w:p>
      <w:pPr>
        <w:pStyle w:val="Compact"/>
        <w:numPr>
          <w:ilvl w:val="0"/>
          <w:numId w:val="1001"/>
        </w:numPr>
      </w:pPr>
      <w:r>
        <w:t xml:space="preserve">Sample Examination Schedule</w:t>
      </w:r>
      <w:r>
        <w:br/>
      </w:r>
    </w:p>
    <w:p>
      <w:pPr>
        <w:pStyle w:val="Compact"/>
        <w:numPr>
          <w:ilvl w:val="0"/>
          <w:numId w:val="1001"/>
        </w:numPr>
      </w:pPr>
      <w:r>
        <w:t xml:space="preserve">Examination Venues &amp; Locations</w:t>
      </w:r>
      <w:r>
        <w:br/>
      </w:r>
    </w:p>
    <w:p>
      <w:pPr>
        <w:pStyle w:val="Compact"/>
        <w:numPr>
          <w:ilvl w:val="0"/>
          <w:numId w:val="1001"/>
        </w:numPr>
      </w:pPr>
      <w:r>
        <w:t xml:space="preserve">Student Examination Guidelines</w:t>
      </w:r>
      <w:r>
        <w:br/>
      </w:r>
    </w:p>
    <w:p>
      <w:pPr>
        <w:pStyle w:val="Compact"/>
        <w:numPr>
          <w:ilvl w:val="0"/>
          <w:numId w:val="1001"/>
        </w:numPr>
      </w:pPr>
      <w:r>
        <w:t xml:space="preserve">Special &amp; Deferred Examinations</w:t>
      </w:r>
      <w:r>
        <w:br/>
      </w:r>
    </w:p>
    <w:p>
      <w:pPr>
        <w:pStyle w:val="Compact"/>
        <w:numPr>
          <w:ilvl w:val="0"/>
          <w:numId w:val="1001"/>
        </w:numPr>
      </w:pPr>
      <w:r>
        <w:t xml:space="preserve">Contact Information &amp; Support</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Examinations are a core component of academic assessment at the university. This document outlines the structure, scheduling, and general guidelines related to university examinations. It is intended to help students understand how exam timetables are organized, where examinations are conducted, and what is expected of candidates during the examination period.</w:t>
      </w:r>
    </w:p>
    <w:p>
      <w:pPr>
        <w:pStyle w:val="BodyText"/>
      </w:pPr>
      <w:r>
        <w:t xml:space="preserve">This guide serves as a reference document for students, academic staff, and administrative purposes.</w:t>
      </w:r>
    </w:p>
    <w:p>
      <w:r>
        <w:pict>
          <v:rect style="width:0;height:1.5pt" o:hralign="center" o:hrstd="t" o:hr="t"/>
        </w:pict>
      </w:r>
    </w:p>
    <w:bookmarkEnd w:id="21"/>
    <w:bookmarkStart w:id="22" w:name="examination-period-overview"/>
    <w:p>
      <w:pPr>
        <w:pStyle w:val="Heading2"/>
      </w:pPr>
      <w:r>
        <w:t xml:space="preserve">2. Examination Period Overview</w:t>
      </w:r>
    </w:p>
    <w:p>
      <w:pPr>
        <w:pStyle w:val="FirstParagraph"/>
      </w:pPr>
      <w:r>
        <w:t xml:space="preserve">The university conducts examinations at the end of each academic semester. The examination period typically spans</w:t>
      </w:r>
      <w:r>
        <w:t xml:space="preserve"> </w:t>
      </w:r>
      <w:r>
        <w:rPr>
          <w:b/>
          <w:bCs/>
        </w:rPr>
        <w:t xml:space="preserve">two to three weeks</w:t>
      </w:r>
      <w:r>
        <w:t xml:space="preserve">, depending on faculty requirements and the number of registered courses.</w:t>
      </w:r>
    </w:p>
    <w:p>
      <w:pPr>
        <w:pStyle w:val="BodyText"/>
      </w:pPr>
      <w:r>
        <w:rPr>
          <w:b/>
          <w:bCs/>
        </w:rPr>
        <w:t xml:space="preserve">Key Features of the Examination Period:</w:t>
      </w:r>
      <w:r>
        <w:t xml:space="preserve"> </w:t>
      </w:r>
      <w:r>
        <w:t xml:space="preserve">- Centralized scheduling managed by the Academic Affairs Office</w:t>
      </w:r>
      <w:r>
        <w:t xml:space="preserve"> </w:t>
      </w:r>
      <w:r>
        <w:t xml:space="preserve">- Exams conducted on weekdays, excluding public holidays</w:t>
      </w:r>
      <w:r>
        <w:t xml:space="preserve"> </w:t>
      </w:r>
      <w:r>
        <w:t xml:space="preserve">- Multiple daily sessions to accommodate large student cohorts</w:t>
      </w:r>
    </w:p>
    <w:p>
      <w:pPr>
        <w:pStyle w:val="BodyText"/>
      </w:pPr>
      <w:r>
        <w:rPr>
          <w:b/>
          <w:bCs/>
        </w:rPr>
        <w:t xml:space="preserve">Sample Examination Period:</w:t>
      </w:r>
      <w:r>
        <w:br/>
      </w:r>
      <w:r>
        <w:t xml:space="preserve">- Start Date: 3 June 20XX</w:t>
      </w:r>
      <w:r>
        <w:br/>
      </w:r>
      <w:r>
        <w:t xml:space="preserve">- End Date: 21 June 20XX</w:t>
      </w:r>
    </w:p>
    <w:p>
      <w:r>
        <w:pict>
          <v:rect style="width:0;height:1.5pt" o:hralign="center" o:hrstd="t" o:hr="t"/>
        </w:pict>
      </w:r>
    </w:p>
    <w:bookmarkEnd w:id="22"/>
    <w:bookmarkStart w:id="23" w:name="examination-timetable-structure"/>
    <w:p>
      <w:pPr>
        <w:pStyle w:val="Heading2"/>
      </w:pPr>
      <w:r>
        <w:t xml:space="preserve">3. Examination Timetable Structure</w:t>
      </w:r>
    </w:p>
    <w:p>
      <w:pPr>
        <w:pStyle w:val="FirstParagraph"/>
      </w:pPr>
      <w:r>
        <w:t xml:space="preserve">Each examination timetable follows a standardized structure to ensure clarity and fairness for all students.</w:t>
      </w:r>
    </w:p>
    <w:p>
      <w:pPr>
        <w:pStyle w:val="BodyText"/>
      </w:pPr>
      <w:r>
        <w:rPr>
          <w:b/>
          <w:bCs/>
        </w:rPr>
        <w:t xml:space="preserve">Timetable Components:</w:t>
      </w:r>
      <w:r>
        <w:t xml:space="preserve"> </w:t>
      </w:r>
      <w:r>
        <w:t xml:space="preserve">- Course Code &amp; Course Title</w:t>
      </w:r>
      <w:r>
        <w:t xml:space="preserve"> </w:t>
      </w:r>
      <w:r>
        <w:t xml:space="preserve">- Examination Date</w:t>
      </w:r>
      <w:r>
        <w:t xml:space="preserve"> </w:t>
      </w:r>
      <w:r>
        <w:t xml:space="preserve">- Examination Time</w:t>
      </w:r>
      <w:r>
        <w:t xml:space="preserve"> </w:t>
      </w:r>
      <w:r>
        <w:t xml:space="preserve">- Duration</w:t>
      </w:r>
      <w:r>
        <w:t xml:space="preserve"> </w:t>
      </w:r>
      <w:r>
        <w:t xml:space="preserve">- Venue</w:t>
      </w:r>
      <w:r>
        <w:t xml:space="preserve"> </w:t>
      </w:r>
      <w:r>
        <w:t xml:space="preserve">- Examination Type (Written / Online / Practical)</w:t>
      </w:r>
    </w:p>
    <w:p>
      <w:pPr>
        <w:pStyle w:val="BodyText"/>
      </w:pPr>
      <w:r>
        <w:rPr>
          <w:b/>
          <w:bCs/>
        </w:rPr>
        <w:t xml:space="preserve">Daily Examination Sessions:</w:t>
      </w:r>
      <w:r>
        <w:t xml:space="preserve"> </w:t>
      </w:r>
      <w:r>
        <w:t xml:space="preserve">- Morning Session: 9:00 AM – 11:00 AM</w:t>
      </w:r>
      <w:r>
        <w:br/>
      </w:r>
      <w:r>
        <w:t xml:space="preserve">- Midday Session: 12:00 PM – 2:00 PM</w:t>
      </w:r>
      <w:r>
        <w:br/>
      </w:r>
      <w:r>
        <w:t xml:space="preserve">- Afternoon Session: 3:00 PM – 5:00 PM</w:t>
      </w:r>
    </w:p>
    <w:p>
      <w:r>
        <w:pict>
          <v:rect style="width:0;height:1.5pt" o:hralign="center" o:hrstd="t" o:hr="t"/>
        </w:pict>
      </w:r>
    </w:p>
    <w:bookmarkEnd w:id="23"/>
    <w:bookmarkStart w:id="26" w:name="sample-examination-schedule"/>
    <w:p>
      <w:pPr>
        <w:pStyle w:val="Heading2"/>
      </w:pPr>
      <w:r>
        <w:t xml:space="preserve">4. Sample Examination Schedule</w:t>
      </w:r>
    </w:p>
    <w:bookmarkStart w:id="24" w:name="faculty-of-computing"/>
    <w:p>
      <w:pPr>
        <w:pStyle w:val="Heading3"/>
      </w:pPr>
      <w:r>
        <w:t xml:space="preserve">4.1 Faculty of Computing</w:t>
      </w:r>
    </w:p>
    <w:tbl>
      <w:tblPr>
        <w:tblStyle w:val="Table"/>
        <w:tblW w:type="pct" w:w="5000"/>
        <w:tblLayout w:type="fixed"/>
        <w:tblLook w:firstRow="1" w:lastRow="0" w:firstColumn="0" w:lastColumn="0" w:noHBand="0" w:noVBand="0" w:val="0020"/>
      </w:tblPr>
      <w:tblGrid>
        <w:gridCol w:w="979"/>
        <w:gridCol w:w="2449"/>
        <w:gridCol w:w="979"/>
        <w:gridCol w:w="1551"/>
        <w:gridCol w:w="816"/>
        <w:gridCol w:w="1143"/>
      </w:tblGrid>
      <w:tr>
        <w:trPr>
          <w:tblHeader w:val="on"/>
        </w:trPr>
        <w:tc>
          <w:tcPr/>
          <w:p>
            <w:pPr>
              <w:pStyle w:val="Compact"/>
            </w:pPr>
            <w:r>
              <w:t xml:space="preserve">Course Code</w:t>
            </w:r>
          </w:p>
        </w:tc>
        <w:tc>
          <w:tcPr/>
          <w:p>
            <w:pPr>
              <w:pStyle w:val="Compact"/>
            </w:pPr>
            <w:r>
              <w:t xml:space="preserve">Course Title</w:t>
            </w:r>
          </w:p>
        </w:tc>
        <w:tc>
          <w:tcPr/>
          <w:p>
            <w:pPr>
              <w:pStyle w:val="Compact"/>
            </w:pPr>
            <w:r>
              <w:t xml:space="preserve">Date</w:t>
            </w:r>
          </w:p>
        </w:tc>
        <w:tc>
          <w:tcPr/>
          <w:p>
            <w:pPr>
              <w:pStyle w:val="Compact"/>
            </w:pPr>
            <w:r>
              <w:t xml:space="preserve">Time</w:t>
            </w:r>
          </w:p>
        </w:tc>
        <w:tc>
          <w:tcPr/>
          <w:p>
            <w:pPr>
              <w:pStyle w:val="Compact"/>
            </w:pPr>
            <w:r>
              <w:t xml:space="preserve">Duration</w:t>
            </w:r>
          </w:p>
        </w:tc>
        <w:tc>
          <w:tcPr/>
          <w:p>
            <w:pPr>
              <w:pStyle w:val="Compact"/>
            </w:pPr>
            <w:r>
              <w:t xml:space="preserve">Venue</w:t>
            </w:r>
          </w:p>
        </w:tc>
      </w:tr>
      <w:tr>
        <w:tc>
          <w:tcPr/>
          <w:p>
            <w:pPr>
              <w:pStyle w:val="Compact"/>
            </w:pPr>
            <w:r>
              <w:t xml:space="preserve">CS101</w:t>
            </w:r>
          </w:p>
        </w:tc>
        <w:tc>
          <w:tcPr/>
          <w:p>
            <w:pPr>
              <w:pStyle w:val="Compact"/>
            </w:pPr>
            <w:r>
              <w:t xml:space="preserve">Introduction to Programming</w:t>
            </w:r>
          </w:p>
        </w:tc>
        <w:tc>
          <w:tcPr/>
          <w:p>
            <w:pPr>
              <w:pStyle w:val="Compact"/>
            </w:pPr>
            <w:r>
              <w:t xml:space="preserve">4 June</w:t>
            </w:r>
          </w:p>
        </w:tc>
        <w:tc>
          <w:tcPr/>
          <w:p>
            <w:pPr>
              <w:pStyle w:val="Compact"/>
            </w:pPr>
            <w:r>
              <w:t xml:space="preserve">9:00 AM – 11:00 AM</w:t>
            </w:r>
          </w:p>
        </w:tc>
        <w:tc>
          <w:tcPr/>
          <w:p>
            <w:pPr>
              <w:pStyle w:val="Compact"/>
            </w:pPr>
            <w:r>
              <w:t xml:space="preserve">2 Hours</w:t>
            </w:r>
          </w:p>
        </w:tc>
        <w:tc>
          <w:tcPr/>
          <w:p>
            <w:pPr>
              <w:pStyle w:val="Compact"/>
            </w:pPr>
            <w:r>
              <w:t xml:space="preserve">Hall A</w:t>
            </w:r>
          </w:p>
        </w:tc>
      </w:tr>
      <w:tr>
        <w:tc>
          <w:tcPr/>
          <w:p>
            <w:pPr>
              <w:pStyle w:val="Compact"/>
            </w:pPr>
            <w:r>
              <w:t xml:space="preserve">CS204</w:t>
            </w:r>
          </w:p>
        </w:tc>
        <w:tc>
          <w:tcPr/>
          <w:p>
            <w:pPr>
              <w:pStyle w:val="Compact"/>
            </w:pPr>
            <w:r>
              <w:t xml:space="preserve">Data Structures</w:t>
            </w:r>
          </w:p>
        </w:tc>
        <w:tc>
          <w:tcPr/>
          <w:p>
            <w:pPr>
              <w:pStyle w:val="Compact"/>
            </w:pPr>
            <w:r>
              <w:t xml:space="preserve">7 June</w:t>
            </w:r>
          </w:p>
        </w:tc>
        <w:tc>
          <w:tcPr/>
          <w:p>
            <w:pPr>
              <w:pStyle w:val="Compact"/>
            </w:pPr>
            <w:r>
              <w:t xml:space="preserve">12:00 PM – 2:00 PM</w:t>
            </w:r>
          </w:p>
        </w:tc>
        <w:tc>
          <w:tcPr/>
          <w:p>
            <w:pPr>
              <w:pStyle w:val="Compact"/>
            </w:pPr>
            <w:r>
              <w:t xml:space="preserve">2 Hours</w:t>
            </w:r>
          </w:p>
        </w:tc>
        <w:tc>
          <w:tcPr/>
          <w:p>
            <w:pPr>
              <w:pStyle w:val="Compact"/>
            </w:pPr>
            <w:r>
              <w:t xml:space="preserve">Hall B</w:t>
            </w:r>
          </w:p>
        </w:tc>
      </w:tr>
      <w:tr>
        <w:tc>
          <w:tcPr/>
          <w:p>
            <w:pPr>
              <w:pStyle w:val="Compact"/>
            </w:pPr>
            <w:r>
              <w:t xml:space="preserve">CS310</w:t>
            </w:r>
          </w:p>
        </w:tc>
        <w:tc>
          <w:tcPr/>
          <w:p>
            <w:pPr>
              <w:pStyle w:val="Compact"/>
            </w:pPr>
            <w:r>
              <w:t xml:space="preserve">Database Systems</w:t>
            </w:r>
          </w:p>
        </w:tc>
        <w:tc>
          <w:tcPr/>
          <w:p>
            <w:pPr>
              <w:pStyle w:val="Compact"/>
            </w:pPr>
            <w:r>
              <w:t xml:space="preserve">10 June</w:t>
            </w:r>
          </w:p>
        </w:tc>
        <w:tc>
          <w:tcPr/>
          <w:p>
            <w:pPr>
              <w:pStyle w:val="Compact"/>
            </w:pPr>
            <w:r>
              <w:t xml:space="preserve">3:00 PM – 5:00 PM</w:t>
            </w:r>
          </w:p>
        </w:tc>
        <w:tc>
          <w:tcPr/>
          <w:p>
            <w:pPr>
              <w:pStyle w:val="Compact"/>
            </w:pPr>
            <w:r>
              <w:t xml:space="preserve">2 Hours</w:t>
            </w:r>
          </w:p>
        </w:tc>
        <w:tc>
          <w:tcPr/>
          <w:p>
            <w:pPr>
              <w:pStyle w:val="Compact"/>
            </w:pPr>
            <w:r>
              <w:t xml:space="preserve">Lab C</w:t>
            </w:r>
          </w:p>
        </w:tc>
      </w:tr>
    </w:tbl>
    <w:bookmarkEnd w:id="24"/>
    <w:bookmarkStart w:id="25" w:name="faculty-of-business"/>
    <w:p>
      <w:pPr>
        <w:pStyle w:val="Heading3"/>
      </w:pPr>
      <w:r>
        <w:t xml:space="preserve">4.2 Faculty of Business</w:t>
      </w:r>
    </w:p>
    <w:tbl>
      <w:tblPr>
        <w:tblStyle w:val="Table"/>
        <w:tblW w:type="pct" w:w="5000"/>
        <w:tblLayout w:type="fixed"/>
        <w:tblLook w:firstRow="1" w:lastRow="0" w:firstColumn="0" w:lastColumn="0" w:noHBand="0" w:noVBand="0" w:val="0020"/>
      </w:tblPr>
      <w:tblGrid>
        <w:gridCol w:w="1011"/>
        <w:gridCol w:w="2274"/>
        <w:gridCol w:w="1011"/>
        <w:gridCol w:w="1600"/>
        <w:gridCol w:w="842"/>
        <w:gridCol w:w="1179"/>
      </w:tblGrid>
      <w:tr>
        <w:trPr>
          <w:tblHeader w:val="on"/>
        </w:trPr>
        <w:tc>
          <w:tcPr/>
          <w:p>
            <w:pPr>
              <w:pStyle w:val="Compact"/>
            </w:pPr>
            <w:r>
              <w:t xml:space="preserve">Course Code</w:t>
            </w:r>
          </w:p>
        </w:tc>
        <w:tc>
          <w:tcPr/>
          <w:p>
            <w:pPr>
              <w:pStyle w:val="Compact"/>
            </w:pPr>
            <w:r>
              <w:t xml:space="preserve">Course Title</w:t>
            </w:r>
          </w:p>
        </w:tc>
        <w:tc>
          <w:tcPr/>
          <w:p>
            <w:pPr>
              <w:pStyle w:val="Compact"/>
            </w:pPr>
            <w:r>
              <w:t xml:space="preserve">Date</w:t>
            </w:r>
          </w:p>
        </w:tc>
        <w:tc>
          <w:tcPr/>
          <w:p>
            <w:pPr>
              <w:pStyle w:val="Compact"/>
            </w:pPr>
            <w:r>
              <w:t xml:space="preserve">Time</w:t>
            </w:r>
          </w:p>
        </w:tc>
        <w:tc>
          <w:tcPr/>
          <w:p>
            <w:pPr>
              <w:pStyle w:val="Compact"/>
            </w:pPr>
            <w:r>
              <w:t xml:space="preserve">Duration</w:t>
            </w:r>
          </w:p>
        </w:tc>
        <w:tc>
          <w:tcPr/>
          <w:p>
            <w:pPr>
              <w:pStyle w:val="Compact"/>
            </w:pPr>
            <w:r>
              <w:t xml:space="preserve">Venue</w:t>
            </w:r>
          </w:p>
        </w:tc>
      </w:tr>
      <w:tr>
        <w:tc>
          <w:tcPr/>
          <w:p>
            <w:pPr>
              <w:pStyle w:val="Compact"/>
            </w:pPr>
            <w:r>
              <w:t xml:space="preserve">BU101</w:t>
            </w:r>
          </w:p>
        </w:tc>
        <w:tc>
          <w:tcPr/>
          <w:p>
            <w:pPr>
              <w:pStyle w:val="Compact"/>
            </w:pPr>
            <w:r>
              <w:t xml:space="preserve">Principles of Management</w:t>
            </w:r>
          </w:p>
        </w:tc>
        <w:tc>
          <w:tcPr/>
          <w:p>
            <w:pPr>
              <w:pStyle w:val="Compact"/>
            </w:pPr>
            <w:r>
              <w:t xml:space="preserve">5 June</w:t>
            </w:r>
          </w:p>
        </w:tc>
        <w:tc>
          <w:tcPr/>
          <w:p>
            <w:pPr>
              <w:pStyle w:val="Compact"/>
            </w:pPr>
            <w:r>
              <w:t xml:space="preserve">9:00 AM – 11:00 AM</w:t>
            </w:r>
          </w:p>
        </w:tc>
        <w:tc>
          <w:tcPr/>
          <w:p>
            <w:pPr>
              <w:pStyle w:val="Compact"/>
            </w:pPr>
            <w:r>
              <w:t xml:space="preserve">2 Hours</w:t>
            </w:r>
          </w:p>
        </w:tc>
        <w:tc>
          <w:tcPr/>
          <w:p>
            <w:pPr>
              <w:pStyle w:val="Compact"/>
            </w:pPr>
            <w:r>
              <w:t xml:space="preserve">Hall C</w:t>
            </w:r>
          </w:p>
        </w:tc>
      </w:tr>
      <w:tr>
        <w:tc>
          <w:tcPr/>
          <w:p>
            <w:pPr>
              <w:pStyle w:val="Compact"/>
            </w:pPr>
            <w:r>
              <w:t xml:space="preserve">BU220</w:t>
            </w:r>
          </w:p>
        </w:tc>
        <w:tc>
          <w:tcPr/>
          <w:p>
            <w:pPr>
              <w:pStyle w:val="Compact"/>
            </w:pPr>
            <w:r>
              <w:t xml:space="preserve">Marketing Fundamentals</w:t>
            </w:r>
          </w:p>
        </w:tc>
        <w:tc>
          <w:tcPr/>
          <w:p>
            <w:pPr>
              <w:pStyle w:val="Compact"/>
            </w:pPr>
            <w:r>
              <w:t xml:space="preserve">8 June</w:t>
            </w:r>
          </w:p>
        </w:tc>
        <w:tc>
          <w:tcPr/>
          <w:p>
            <w:pPr>
              <w:pStyle w:val="Compact"/>
            </w:pPr>
            <w:r>
              <w:t xml:space="preserve">12:00 PM – 2:00 PM</w:t>
            </w:r>
          </w:p>
        </w:tc>
        <w:tc>
          <w:tcPr/>
          <w:p>
            <w:pPr>
              <w:pStyle w:val="Compact"/>
            </w:pPr>
            <w:r>
              <w:t xml:space="preserve">2 Hours</w:t>
            </w:r>
          </w:p>
        </w:tc>
        <w:tc>
          <w:tcPr/>
          <w:p>
            <w:pPr>
              <w:pStyle w:val="Compact"/>
            </w:pPr>
            <w:r>
              <w:t xml:space="preserve">Hall D</w:t>
            </w:r>
          </w:p>
        </w:tc>
      </w:tr>
      <w:tr>
        <w:tc>
          <w:tcPr/>
          <w:p>
            <w:pPr>
              <w:pStyle w:val="Compact"/>
            </w:pPr>
            <w:r>
              <w:t xml:space="preserve">BU305</w:t>
            </w:r>
          </w:p>
        </w:tc>
        <w:tc>
          <w:tcPr/>
          <w:p>
            <w:pPr>
              <w:pStyle w:val="Compact"/>
            </w:pPr>
            <w:r>
              <w:t xml:space="preserve">Corporate Finance</w:t>
            </w:r>
          </w:p>
        </w:tc>
        <w:tc>
          <w:tcPr/>
          <w:p>
            <w:pPr>
              <w:pStyle w:val="Compact"/>
            </w:pPr>
            <w:r>
              <w:t xml:space="preserve">12 June</w:t>
            </w:r>
          </w:p>
        </w:tc>
        <w:tc>
          <w:tcPr/>
          <w:p>
            <w:pPr>
              <w:pStyle w:val="Compact"/>
            </w:pPr>
            <w:r>
              <w:t xml:space="preserve">3:00 PM – 5:00 PM</w:t>
            </w:r>
          </w:p>
        </w:tc>
        <w:tc>
          <w:tcPr/>
          <w:p>
            <w:pPr>
              <w:pStyle w:val="Compact"/>
            </w:pPr>
            <w:r>
              <w:t xml:space="preserve">2 Hours</w:t>
            </w:r>
          </w:p>
        </w:tc>
        <w:tc>
          <w:tcPr/>
          <w:p>
            <w:pPr>
              <w:pStyle w:val="Compact"/>
            </w:pPr>
            <w:r>
              <w:t xml:space="preserve">Hall E</w:t>
            </w:r>
          </w:p>
        </w:tc>
      </w:tr>
    </w:tbl>
    <w:p>
      <w:r>
        <w:pict>
          <v:rect style="width:0;height:1.5pt" o:hralign="center" o:hrstd="t" o:hr="t"/>
        </w:pict>
      </w:r>
    </w:p>
    <w:bookmarkEnd w:id="25"/>
    <w:bookmarkEnd w:id="26"/>
    <w:bookmarkStart w:id="27" w:name="examination-venues-locations"/>
    <w:p>
      <w:pPr>
        <w:pStyle w:val="Heading2"/>
      </w:pPr>
      <w:r>
        <w:t xml:space="preserve">5. Examination Venues &amp; Locations</w:t>
      </w:r>
    </w:p>
    <w:p>
      <w:pPr>
        <w:pStyle w:val="FirstParagraph"/>
      </w:pPr>
      <w:r>
        <w:t xml:space="preserve">Examinations are conducted across multiple locations on campus to accommodate varying class sizes.</w:t>
      </w:r>
    </w:p>
    <w:p>
      <w:pPr>
        <w:pStyle w:val="BodyText"/>
      </w:pPr>
      <w:r>
        <w:rPr>
          <w:b/>
          <w:bCs/>
        </w:rPr>
        <w:t xml:space="preserve">Common Examination Venues:</w:t>
      </w:r>
      <w:r>
        <w:t xml:space="preserve"> </w:t>
      </w:r>
      <w:r>
        <w:t xml:space="preserve">-</w:t>
      </w:r>
      <w:r>
        <w:t xml:space="preserve"> </w:t>
      </w:r>
      <w:r>
        <w:rPr>
          <w:b/>
          <w:bCs/>
        </w:rPr>
        <w:t xml:space="preserve">Main Examination Hall (Hall A &amp; B):</w:t>
      </w:r>
      <w:r>
        <w:t xml:space="preserve"> </w:t>
      </w:r>
      <w:r>
        <w:t xml:space="preserve">Large-scale written examinations</w:t>
      </w:r>
      <w:r>
        <w:t xml:space="preserve"> </w:t>
      </w:r>
      <w:r>
        <w:t xml:space="preserve">-</w:t>
      </w:r>
      <w:r>
        <w:t xml:space="preserve"> </w:t>
      </w:r>
      <w:r>
        <w:rPr>
          <w:b/>
          <w:bCs/>
        </w:rPr>
        <w:t xml:space="preserve">Faculty Lecture Halls:</w:t>
      </w:r>
      <w:r>
        <w:t xml:space="preserve"> </w:t>
      </w:r>
      <w:r>
        <w:t xml:space="preserve">Medium-sized course examinations</w:t>
      </w:r>
      <w:r>
        <w:t xml:space="preserve"> </w:t>
      </w:r>
      <w:r>
        <w:t xml:space="preserve">-</w:t>
      </w:r>
      <w:r>
        <w:t xml:space="preserve"> </w:t>
      </w:r>
      <w:r>
        <w:rPr>
          <w:b/>
          <w:bCs/>
        </w:rPr>
        <w:t xml:space="preserve">Computer Laboratories:</w:t>
      </w:r>
      <w:r>
        <w:t xml:space="preserve"> </w:t>
      </w:r>
      <w:r>
        <w:t xml:space="preserve">Online and practical assessments</w:t>
      </w:r>
    </w:p>
    <w:p>
      <w:pPr>
        <w:pStyle w:val="BodyText"/>
      </w:pPr>
      <w:r>
        <w:t xml:space="preserve">Students are advised to locate their assigned venues at least</w:t>
      </w:r>
      <w:r>
        <w:t xml:space="preserve"> </w:t>
      </w:r>
      <w:r>
        <w:rPr>
          <w:b/>
          <w:bCs/>
        </w:rPr>
        <w:t xml:space="preserve">one day prior</w:t>
      </w:r>
      <w:r>
        <w:t xml:space="preserve"> </w:t>
      </w:r>
      <w:r>
        <w:t xml:space="preserve">to their examination.</w:t>
      </w:r>
    </w:p>
    <w:p>
      <w:r>
        <w:pict>
          <v:rect style="width:0;height:1.5pt" o:hralign="center" o:hrstd="t" o:hr="t"/>
        </w:pict>
      </w:r>
    </w:p>
    <w:bookmarkEnd w:id="27"/>
    <w:bookmarkStart w:id="31" w:name="student-examination-guidelines"/>
    <w:p>
      <w:pPr>
        <w:pStyle w:val="Heading2"/>
      </w:pPr>
      <w:r>
        <w:t xml:space="preserve">6. Student Examination Guidelines</w:t>
      </w:r>
    </w:p>
    <w:bookmarkStart w:id="28" w:name="before-the-examination"/>
    <w:p>
      <w:pPr>
        <w:pStyle w:val="Heading3"/>
      </w:pPr>
      <w:r>
        <w:t xml:space="preserve">6.1 Before the Examination</w:t>
      </w:r>
    </w:p>
    <w:p>
      <w:pPr>
        <w:pStyle w:val="Compact"/>
        <w:numPr>
          <w:ilvl w:val="0"/>
          <w:numId w:val="1002"/>
        </w:numPr>
      </w:pPr>
      <w:r>
        <w:t xml:space="preserve">Check the official examination timetable regularly for updates</w:t>
      </w:r>
    </w:p>
    <w:p>
      <w:pPr>
        <w:pStyle w:val="Compact"/>
        <w:numPr>
          <w:ilvl w:val="0"/>
          <w:numId w:val="1002"/>
        </w:numPr>
      </w:pPr>
      <w:r>
        <w:t xml:space="preserve">Bring a valid student identification card</w:t>
      </w:r>
    </w:p>
    <w:p>
      <w:pPr>
        <w:pStyle w:val="Compact"/>
        <w:numPr>
          <w:ilvl w:val="0"/>
          <w:numId w:val="1002"/>
        </w:numPr>
      </w:pPr>
      <w:r>
        <w:t xml:space="preserve">Arrive at the venue at least</w:t>
      </w:r>
      <w:r>
        <w:t xml:space="preserve"> </w:t>
      </w:r>
      <w:r>
        <w:rPr>
          <w:b/>
          <w:bCs/>
        </w:rPr>
        <w:t xml:space="preserve">30 minutes before</w:t>
      </w:r>
      <w:r>
        <w:t xml:space="preserve"> </w:t>
      </w:r>
      <w:r>
        <w:t xml:space="preserve">the exam start time</w:t>
      </w:r>
    </w:p>
    <w:bookmarkEnd w:id="28"/>
    <w:bookmarkStart w:id="29" w:name="during-the-examination"/>
    <w:p>
      <w:pPr>
        <w:pStyle w:val="Heading3"/>
      </w:pPr>
      <w:r>
        <w:t xml:space="preserve">6.2 During the Examination</w:t>
      </w:r>
    </w:p>
    <w:p>
      <w:pPr>
        <w:pStyle w:val="Compact"/>
        <w:numPr>
          <w:ilvl w:val="0"/>
          <w:numId w:val="1003"/>
        </w:numPr>
      </w:pPr>
      <w:r>
        <w:t xml:space="preserve">Follow all invigilator instructions</w:t>
      </w:r>
    </w:p>
    <w:p>
      <w:pPr>
        <w:pStyle w:val="Compact"/>
        <w:numPr>
          <w:ilvl w:val="0"/>
          <w:numId w:val="1003"/>
        </w:numPr>
      </w:pPr>
      <w:r>
        <w:t xml:space="preserve">Only authorized materials are permitted</w:t>
      </w:r>
    </w:p>
    <w:p>
      <w:pPr>
        <w:pStyle w:val="Compact"/>
        <w:numPr>
          <w:ilvl w:val="0"/>
          <w:numId w:val="1003"/>
        </w:numPr>
      </w:pPr>
      <w:r>
        <w:t xml:space="preserve">Mobile phones must be switched off and placed in designated areas</w:t>
      </w:r>
    </w:p>
    <w:bookmarkEnd w:id="29"/>
    <w:bookmarkStart w:id="30" w:name="after-the-examination"/>
    <w:p>
      <w:pPr>
        <w:pStyle w:val="Heading3"/>
      </w:pPr>
      <w:r>
        <w:t xml:space="preserve">6.3 After the Examination</w:t>
      </w:r>
    </w:p>
    <w:p>
      <w:pPr>
        <w:pStyle w:val="Compact"/>
        <w:numPr>
          <w:ilvl w:val="0"/>
          <w:numId w:val="1004"/>
        </w:numPr>
      </w:pPr>
      <w:r>
        <w:t xml:space="preserve">Remain seated until instructed to leave</w:t>
      </w:r>
    </w:p>
    <w:p>
      <w:pPr>
        <w:pStyle w:val="Compact"/>
        <w:numPr>
          <w:ilvl w:val="0"/>
          <w:numId w:val="1004"/>
        </w:numPr>
      </w:pPr>
      <w:r>
        <w:t xml:space="preserve">Submit all answer scripts before exiting</w:t>
      </w:r>
    </w:p>
    <w:p>
      <w:pPr>
        <w:pStyle w:val="Compact"/>
        <w:numPr>
          <w:ilvl w:val="0"/>
          <w:numId w:val="1004"/>
        </w:numPr>
      </w:pPr>
      <w:r>
        <w:t xml:space="preserve">Report any issues immediately to the invigilator</w:t>
      </w:r>
    </w:p>
    <w:p>
      <w:r>
        <w:pict>
          <v:rect style="width:0;height:1.5pt" o:hralign="center" o:hrstd="t" o:hr="t"/>
        </w:pict>
      </w:r>
    </w:p>
    <w:bookmarkEnd w:id="30"/>
    <w:bookmarkEnd w:id="31"/>
    <w:bookmarkStart w:id="32" w:name="special-deferred-examinations"/>
    <w:p>
      <w:pPr>
        <w:pStyle w:val="Heading2"/>
      </w:pPr>
      <w:r>
        <w:t xml:space="preserve">7. Special &amp; Deferred Examinations</w:t>
      </w:r>
    </w:p>
    <w:p>
      <w:pPr>
        <w:pStyle w:val="FirstParagraph"/>
      </w:pPr>
      <w:r>
        <w:t xml:space="preserve">Students who are unable to sit for an examination due to valid reasons (medical or emergency circumstances) may apply for a deferred examination.</w:t>
      </w:r>
    </w:p>
    <w:p>
      <w:pPr>
        <w:pStyle w:val="BodyText"/>
      </w:pPr>
      <w:r>
        <w:rPr>
          <w:b/>
          <w:bCs/>
        </w:rPr>
        <w:t xml:space="preserve">Application Requirements:</w:t>
      </w:r>
      <w:r>
        <w:t xml:space="preserve"> </w:t>
      </w:r>
      <w:r>
        <w:t xml:space="preserve">- Completed deferred exam application form</w:t>
      </w:r>
      <w:r>
        <w:t xml:space="preserve"> </w:t>
      </w:r>
      <w:r>
        <w:t xml:space="preserve">- Supporting documentation</w:t>
      </w:r>
      <w:r>
        <w:t xml:space="preserve"> </w:t>
      </w:r>
      <w:r>
        <w:t xml:space="preserve">- Submission within</w:t>
      </w:r>
      <w:r>
        <w:t xml:space="preserve"> </w:t>
      </w:r>
      <w:r>
        <w:rPr>
          <w:b/>
          <w:bCs/>
        </w:rPr>
        <w:t xml:space="preserve">5 working days</w:t>
      </w:r>
      <w:r>
        <w:t xml:space="preserve"> </w:t>
      </w:r>
      <w:r>
        <w:t xml:space="preserve">of the missed examination</w:t>
      </w:r>
    </w:p>
    <w:p>
      <w:pPr>
        <w:pStyle w:val="BodyText"/>
      </w:pPr>
      <w:r>
        <w:t xml:space="preserve">Approval is subject to review by the Academic Review Committee.</w:t>
      </w:r>
    </w:p>
    <w:p>
      <w:r>
        <w:pict>
          <v:rect style="width:0;height:1.5pt" o:hralign="center" o:hrstd="t" o:hr="t"/>
        </w:pict>
      </w:r>
    </w:p>
    <w:bookmarkEnd w:id="32"/>
    <w:bookmarkStart w:id="33" w:name="contact-information-support"/>
    <w:p>
      <w:pPr>
        <w:pStyle w:val="Heading2"/>
      </w:pPr>
      <w:r>
        <w:t xml:space="preserve">8. Contact Information &amp; Support</w:t>
      </w:r>
    </w:p>
    <w:p>
      <w:pPr>
        <w:pStyle w:val="FirstParagraph"/>
      </w:pPr>
      <w:r>
        <w:t xml:space="preserve">For questions or concerns regarding examination schedules, students may contact:</w:t>
      </w:r>
    </w:p>
    <w:p>
      <w:pPr>
        <w:pStyle w:val="BodyText"/>
      </w:pPr>
      <w:r>
        <w:rPr>
          <w:b/>
          <w:bCs/>
        </w:rPr>
        <w:t xml:space="preserve">Academic Affairs Office</w:t>
      </w:r>
      <w:r>
        <w:br/>
      </w:r>
      <w:r>
        <w:t xml:space="preserve">- Location: Administration Building, Level 2</w:t>
      </w:r>
      <w:r>
        <w:br/>
      </w:r>
      <w:r>
        <w:t xml:space="preserve">- Email: exams@university.edu</w:t>
      </w:r>
      <w:r>
        <w:br/>
      </w:r>
      <w:r>
        <w:t xml:space="preserve">- Phone: +00 1234 5678</w:t>
      </w:r>
    </w:p>
    <w:p>
      <w:pPr>
        <w:pStyle w:val="BodyText"/>
      </w:pPr>
      <w:r>
        <w:t xml:space="preserve">Students are encouraged to monitor official university announcements for the most up-to-date examination information.</w:t>
      </w:r>
    </w:p>
    <w:p>
      <w:r>
        <w:pict>
          <v:rect style="width:0;height:1.5pt" o:hralign="center" o:hrstd="t" o:hr="t"/>
        </w:pict>
      </w:r>
    </w:p>
    <w:p>
      <w:pPr>
        <w:pStyle w:val="FirstParagraph"/>
      </w:pPr>
      <w:r>
        <w:rPr>
          <w:i/>
          <w:iCs/>
        </w:rPr>
        <w:t xml:space="preserve">End of Sample Examination Schedule Document</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2025-12-18T18:47:52Z</dcterms:created>
  <dcterms:modified xsi:type="dcterms:W3CDTF">2025-12-18T18:47:52Z</dcterms:modified>
</cp:coreProperties>
</file>

<file path=docProps/custom.xml><?xml version="1.0" encoding="utf-8"?>
<Properties xmlns="http://schemas.openxmlformats.org/officeDocument/2006/custom-properties" xmlns:vt="http://schemas.openxmlformats.org/officeDocument/2006/docPropsVTypes"/>
</file>