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F982E" w14:textId="77777777" w:rsidR="00600B3B" w:rsidRPr="00600B3B" w:rsidRDefault="00600B3B" w:rsidP="00600B3B">
      <w:pPr>
        <w:spacing w:line="360" w:lineRule="auto"/>
        <w:jc w:val="center"/>
        <w:rPr>
          <w:sz w:val="24"/>
          <w:szCs w:val="24"/>
        </w:rPr>
      </w:pPr>
      <w:r w:rsidRPr="00600B3B">
        <w:rPr>
          <w:sz w:val="24"/>
          <w:szCs w:val="24"/>
        </w:rPr>
        <w:t>PARTENARIAT GAMEASU – MDBESS</w:t>
      </w:r>
    </w:p>
    <w:p w14:paraId="01FB51E0" w14:textId="0ED94D42" w:rsidR="00600B3B" w:rsidRPr="00600B3B" w:rsidRDefault="00600B3B" w:rsidP="00600B3B">
      <w:pPr>
        <w:spacing w:line="360" w:lineRule="auto"/>
        <w:jc w:val="center"/>
        <w:rPr>
          <w:sz w:val="24"/>
          <w:szCs w:val="24"/>
        </w:rPr>
      </w:pPr>
      <w:r w:rsidRPr="00600B3B">
        <w:rPr>
          <w:sz w:val="24"/>
          <w:szCs w:val="24"/>
        </w:rPr>
        <w:t>Un ERP au service de la professionnalisation des entrepreneurs accompagnés par le Ministère du Développement à la Base et de l’Économie Sociale et Solidaire (MDBESS) - République Togolaise</w:t>
      </w:r>
    </w:p>
    <w:p w14:paraId="2180C077" w14:textId="77777777" w:rsidR="00600B3B" w:rsidRPr="00600B3B" w:rsidRDefault="00600B3B" w:rsidP="00600B3B">
      <w:pPr>
        <w:spacing w:line="360" w:lineRule="auto"/>
        <w:jc w:val="center"/>
        <w:rPr>
          <w:sz w:val="24"/>
          <w:szCs w:val="24"/>
        </w:rPr>
      </w:pPr>
      <w:r w:rsidRPr="00600B3B">
        <w:rPr>
          <w:sz w:val="24"/>
          <w:szCs w:val="24"/>
        </w:rPr>
        <w:t>Juillet 2026 - Confidentiel</w:t>
      </w:r>
    </w:p>
    <w:p w14:paraId="116766A5" w14:textId="77777777" w:rsidR="00600B3B" w:rsidRDefault="00600B3B" w:rsidP="00600B3B">
      <w:pPr>
        <w:spacing w:line="360" w:lineRule="auto"/>
        <w:jc w:val="both"/>
        <w:rPr>
          <w:b/>
          <w:bCs/>
          <w:sz w:val="24"/>
          <w:szCs w:val="24"/>
          <w:u w:val="single"/>
        </w:rPr>
      </w:pPr>
    </w:p>
    <w:p w14:paraId="636450A6" w14:textId="2E586D57" w:rsidR="00600B3B" w:rsidRPr="00600B3B" w:rsidRDefault="00600B3B" w:rsidP="00600B3B">
      <w:pPr>
        <w:spacing w:line="360" w:lineRule="auto"/>
        <w:jc w:val="both"/>
        <w:rPr>
          <w:b/>
          <w:bCs/>
          <w:sz w:val="24"/>
          <w:szCs w:val="24"/>
          <w:u w:val="single"/>
        </w:rPr>
      </w:pPr>
      <w:r w:rsidRPr="00600B3B">
        <w:rPr>
          <w:b/>
          <w:bCs/>
          <w:sz w:val="24"/>
          <w:szCs w:val="24"/>
          <w:u w:val="single"/>
        </w:rPr>
        <w:t>1. Résumé exécutif</w:t>
      </w:r>
    </w:p>
    <w:p w14:paraId="1A76E2B9" w14:textId="77777777" w:rsidR="00600B3B" w:rsidRPr="00600B3B" w:rsidRDefault="00600B3B" w:rsidP="00600B3B">
      <w:pPr>
        <w:spacing w:line="360" w:lineRule="auto"/>
        <w:jc w:val="both"/>
        <w:rPr>
          <w:sz w:val="24"/>
          <w:szCs w:val="24"/>
        </w:rPr>
      </w:pPr>
      <w:r w:rsidRPr="00600B3B">
        <w:rPr>
          <w:sz w:val="24"/>
          <w:szCs w:val="24"/>
        </w:rPr>
        <w:t>Le Ministère du Développement à la Base et de l’Économie Sociale et Solidaire (MDBESS) forme, finance et accompagne chaque année des milliers d’entrepreneurs, de coopératives et de groupements à travers des programmes structurants comme le PAJEC, doté de 28 milliards de FCFA, ou le FAIEJ, qui a déjà financé des milliers de projets. Mais un même constat revient d’un dispositif à l’autre : une fois la formation dispensée ou le financement décaissé, la grande majorité des bénéficiaires retourne à une gestion informelle - cahiers, carnets de reçus, fichiers dispersés - faute d’outil pour prolonger l’effort. Le ministère, de son côté, ne dispose que d’une visibilité déclarative et ponctuelle sur la progression réelle de ses cohortes.</w:t>
      </w:r>
    </w:p>
    <w:p w14:paraId="5DE494B1" w14:textId="77777777" w:rsidR="00600B3B" w:rsidRPr="00600B3B" w:rsidRDefault="00600B3B" w:rsidP="00600B3B">
      <w:pPr>
        <w:spacing w:line="360" w:lineRule="auto"/>
        <w:jc w:val="both"/>
        <w:rPr>
          <w:sz w:val="24"/>
          <w:szCs w:val="24"/>
        </w:rPr>
      </w:pPr>
      <w:r w:rsidRPr="00600B3B">
        <w:rPr>
          <w:sz w:val="24"/>
          <w:szCs w:val="24"/>
        </w:rPr>
        <w:t>GAMEASU est un ERP tout-en-un conçu pour les entreprises (ventes, clients, dépenses, trésorerie, stocks, facturation, projets, budgets, équipes, rapports), doublé d’un accompagnement humain assuré par des experts en gestion comptable, gestion des ressources humaines, gestion financière... Proposé en partenariat au MDBESS, il comble précisément ce chaînon manquant : il donne à l’entrepreneur un outil qu’il garde après la formation, et il remonte au ministère les données agrégées dont il a besoin pour piloter ses programmes et rendre compte à ses bailleurs (BAD, KfW, AFD, PNUD).</w:t>
      </w:r>
    </w:p>
    <w:p w14:paraId="25294110" w14:textId="77777777" w:rsidR="00600B3B" w:rsidRDefault="00600B3B" w:rsidP="00600B3B">
      <w:pPr>
        <w:spacing w:line="360" w:lineRule="auto"/>
        <w:jc w:val="both"/>
        <w:rPr>
          <w:sz w:val="24"/>
          <w:szCs w:val="24"/>
        </w:rPr>
      </w:pPr>
      <w:r w:rsidRPr="00600B3B">
        <w:rPr>
          <w:sz w:val="24"/>
          <w:szCs w:val="24"/>
        </w:rPr>
        <w:t>GAMEASU demeure toutefois un service commercial, dont l’accès a un coût. Ce document explique donc, après avoir posé le contexte du ministère et détaillé la valeur concrète de l’outil pour les entrepreneurs eux-mêmes, les différentes façons dont ce coût peut être pris en charge - par le ministère, par le bénéficiaire, par les bailleurs, ou par une combinaison des trois - afin que l’accès à l’ERP ne devienne jamais un obstacle à l’adoption. La recommandation centrale reste d’engager la collaboration par un pilote ciblé de six mois sur 50 à 100 bénéficiaires, financé en co-investissement, avant toute extension.</w:t>
      </w:r>
    </w:p>
    <w:p w14:paraId="59585F9A" w14:textId="77777777" w:rsidR="00600B3B" w:rsidRDefault="00600B3B" w:rsidP="00600B3B">
      <w:pPr>
        <w:spacing w:line="360" w:lineRule="auto"/>
        <w:jc w:val="both"/>
        <w:rPr>
          <w:sz w:val="24"/>
          <w:szCs w:val="24"/>
        </w:rPr>
      </w:pPr>
    </w:p>
    <w:p w14:paraId="66CA7E01" w14:textId="77777777" w:rsidR="00600B3B" w:rsidRPr="00600B3B" w:rsidRDefault="00600B3B" w:rsidP="00600B3B">
      <w:pPr>
        <w:spacing w:line="360" w:lineRule="auto"/>
        <w:jc w:val="both"/>
        <w:rPr>
          <w:sz w:val="24"/>
          <w:szCs w:val="24"/>
        </w:rPr>
      </w:pPr>
    </w:p>
    <w:p w14:paraId="3AB1D8D5" w14:textId="77777777" w:rsidR="00600B3B" w:rsidRPr="00600B3B" w:rsidRDefault="00600B3B" w:rsidP="00600B3B">
      <w:pPr>
        <w:spacing w:line="360" w:lineRule="auto"/>
        <w:jc w:val="both"/>
        <w:rPr>
          <w:b/>
          <w:bCs/>
          <w:sz w:val="24"/>
          <w:szCs w:val="24"/>
          <w:u w:val="single"/>
        </w:rPr>
      </w:pPr>
      <w:r w:rsidRPr="00600B3B">
        <w:rPr>
          <w:b/>
          <w:bCs/>
          <w:sz w:val="24"/>
          <w:szCs w:val="24"/>
          <w:u w:val="single"/>
        </w:rPr>
        <w:lastRenderedPageBreak/>
        <w:t>2. Le ministère, ses programmes, et le chaînon manquant</w:t>
      </w:r>
    </w:p>
    <w:p w14:paraId="53D82AEF" w14:textId="77777777" w:rsidR="00600B3B" w:rsidRPr="00600B3B" w:rsidRDefault="00600B3B" w:rsidP="00600B3B">
      <w:pPr>
        <w:spacing w:line="360" w:lineRule="auto"/>
        <w:jc w:val="both"/>
        <w:rPr>
          <w:sz w:val="24"/>
          <w:szCs w:val="24"/>
        </w:rPr>
      </w:pPr>
      <w:r w:rsidRPr="00600B3B">
        <w:rPr>
          <w:sz w:val="24"/>
          <w:szCs w:val="24"/>
        </w:rPr>
        <w:t>Le MDBESS a pour mission de structurer et d’accompagner les communautés à la base et d’encadrer les jeunes vers leur autonomisation économique. Son action s’articule autour de cinq axes :</w:t>
      </w:r>
    </w:p>
    <w:p w14:paraId="26F3FE93" w14:textId="459DD5FF" w:rsidR="00600B3B" w:rsidRPr="00600B3B" w:rsidRDefault="00600B3B" w:rsidP="00600B3B">
      <w:pPr>
        <w:pStyle w:val="Paragraphedeliste"/>
        <w:numPr>
          <w:ilvl w:val="0"/>
          <w:numId w:val="7"/>
        </w:numPr>
        <w:spacing w:line="360" w:lineRule="auto"/>
        <w:jc w:val="both"/>
        <w:rPr>
          <w:sz w:val="24"/>
          <w:szCs w:val="24"/>
        </w:rPr>
      </w:pPr>
      <w:r w:rsidRPr="00600B3B">
        <w:rPr>
          <w:sz w:val="24"/>
          <w:szCs w:val="24"/>
        </w:rPr>
        <w:t>l’appui aux Comités de Développement à la Base et aux plateformes multifonctionnelles (plus de 350 installées) ;</w:t>
      </w:r>
    </w:p>
    <w:p w14:paraId="797A0885" w14:textId="2D3A2B2C" w:rsidR="00600B3B" w:rsidRPr="00600B3B" w:rsidRDefault="00600B3B" w:rsidP="00600B3B">
      <w:pPr>
        <w:pStyle w:val="Paragraphedeliste"/>
        <w:numPr>
          <w:ilvl w:val="0"/>
          <w:numId w:val="7"/>
        </w:numPr>
        <w:spacing w:line="360" w:lineRule="auto"/>
        <w:jc w:val="both"/>
        <w:rPr>
          <w:sz w:val="24"/>
          <w:szCs w:val="24"/>
        </w:rPr>
      </w:pPr>
      <w:r w:rsidRPr="00600B3B">
        <w:rPr>
          <w:sz w:val="24"/>
          <w:szCs w:val="24"/>
        </w:rPr>
        <w:t>les activités en direction de la jeunesse (160 000 jeunes touchés, près de 49 000 volontaires mobilisés) ;</w:t>
      </w:r>
    </w:p>
    <w:p w14:paraId="59A5BC38" w14:textId="3B152B78" w:rsidR="00600B3B" w:rsidRPr="00600B3B" w:rsidRDefault="00600B3B" w:rsidP="00600B3B">
      <w:pPr>
        <w:pStyle w:val="Paragraphedeliste"/>
        <w:numPr>
          <w:ilvl w:val="0"/>
          <w:numId w:val="7"/>
        </w:numPr>
        <w:spacing w:line="360" w:lineRule="auto"/>
        <w:jc w:val="both"/>
        <w:rPr>
          <w:sz w:val="24"/>
          <w:szCs w:val="24"/>
        </w:rPr>
      </w:pPr>
      <w:r w:rsidRPr="00600B3B">
        <w:rPr>
          <w:sz w:val="24"/>
          <w:szCs w:val="24"/>
        </w:rPr>
        <w:t>l’emploi des jeunes et l’entrepreneuriat, avec 9 250 jeunes et femmes déjà formés, plus de 1,21 milliard de FCFA de crédits octroyés et 15 500 emplois durables créés ;</w:t>
      </w:r>
    </w:p>
    <w:p w14:paraId="46328B62" w14:textId="60C7A016" w:rsidR="00600B3B" w:rsidRPr="00600B3B" w:rsidRDefault="00600B3B" w:rsidP="00600B3B">
      <w:pPr>
        <w:pStyle w:val="Paragraphedeliste"/>
        <w:numPr>
          <w:ilvl w:val="0"/>
          <w:numId w:val="7"/>
        </w:numPr>
        <w:spacing w:line="360" w:lineRule="auto"/>
        <w:jc w:val="both"/>
        <w:rPr>
          <w:sz w:val="24"/>
          <w:szCs w:val="24"/>
        </w:rPr>
      </w:pPr>
      <w:r w:rsidRPr="00600B3B">
        <w:rPr>
          <w:sz w:val="24"/>
          <w:szCs w:val="24"/>
        </w:rPr>
        <w:t>l’économie sociale et solidaire, avec un recensement national des entités de l’ESS actuellement en cours ;</w:t>
      </w:r>
    </w:p>
    <w:p w14:paraId="1C19FCAE" w14:textId="0011DF79" w:rsidR="00600B3B" w:rsidRPr="00600B3B" w:rsidRDefault="00600B3B" w:rsidP="00600B3B">
      <w:pPr>
        <w:pStyle w:val="Paragraphedeliste"/>
        <w:numPr>
          <w:ilvl w:val="0"/>
          <w:numId w:val="7"/>
        </w:numPr>
        <w:spacing w:line="360" w:lineRule="auto"/>
        <w:jc w:val="both"/>
        <w:rPr>
          <w:sz w:val="24"/>
          <w:szCs w:val="24"/>
        </w:rPr>
      </w:pPr>
      <w:r w:rsidRPr="00600B3B">
        <w:rPr>
          <w:sz w:val="24"/>
          <w:szCs w:val="24"/>
        </w:rPr>
        <w:t>et l’inclusion financière, à travers les filets sociaux dont bénéficient plus de 350 000 Togolais.</w:t>
      </w:r>
    </w:p>
    <w:p w14:paraId="2BFF5D07" w14:textId="77777777" w:rsidR="00600B3B" w:rsidRPr="00600B3B" w:rsidRDefault="00600B3B" w:rsidP="00600B3B">
      <w:pPr>
        <w:spacing w:line="360" w:lineRule="auto"/>
        <w:jc w:val="both"/>
        <w:rPr>
          <w:sz w:val="24"/>
          <w:szCs w:val="24"/>
        </w:rPr>
      </w:pPr>
      <w:r w:rsidRPr="00600B3B">
        <w:rPr>
          <w:sz w:val="24"/>
          <w:szCs w:val="24"/>
        </w:rPr>
        <w:t>Deux dispositifs illustrent l’ampleur de cet effort :</w:t>
      </w:r>
    </w:p>
    <w:p w14:paraId="7EA0A9C2" w14:textId="706572F4" w:rsidR="00600B3B" w:rsidRPr="00600B3B" w:rsidRDefault="00600B3B" w:rsidP="00600B3B">
      <w:pPr>
        <w:pStyle w:val="Paragraphedeliste"/>
        <w:numPr>
          <w:ilvl w:val="0"/>
          <w:numId w:val="9"/>
        </w:numPr>
        <w:spacing w:line="360" w:lineRule="auto"/>
        <w:jc w:val="both"/>
        <w:rPr>
          <w:sz w:val="24"/>
          <w:szCs w:val="24"/>
        </w:rPr>
      </w:pPr>
      <w:r w:rsidRPr="00600B3B">
        <w:rPr>
          <w:sz w:val="24"/>
          <w:szCs w:val="24"/>
        </w:rPr>
        <w:t>le PAJEC, projet doté de 28 milliards de FCFA (BAD, KfW, État togolais) et mis en œuvre par l’ADTPME, qui vise l’insertion de 9 230 TPME dans des chaînes de valeur et revendique explicitement un accompagnement continu, au-delà du seul financement ;</w:t>
      </w:r>
    </w:p>
    <w:p w14:paraId="749D7DF8" w14:textId="0C3B668F" w:rsidR="00600B3B" w:rsidRPr="00600B3B" w:rsidRDefault="00600B3B" w:rsidP="00600B3B">
      <w:pPr>
        <w:pStyle w:val="Paragraphedeliste"/>
        <w:numPr>
          <w:ilvl w:val="0"/>
          <w:numId w:val="9"/>
        </w:numPr>
        <w:spacing w:line="360" w:lineRule="auto"/>
        <w:jc w:val="both"/>
        <w:rPr>
          <w:sz w:val="24"/>
          <w:szCs w:val="24"/>
        </w:rPr>
      </w:pPr>
      <w:r w:rsidRPr="00600B3B">
        <w:rPr>
          <w:sz w:val="24"/>
          <w:szCs w:val="24"/>
        </w:rPr>
        <w:t xml:space="preserve">et le FAIEJ, qui a déjà financé près de 7 000 projets et permis la création de plus de 27 000 emplois. Ces programmes s’appuient sur un réseau d’agences </w:t>
      </w:r>
      <w:r>
        <w:rPr>
          <w:sz w:val="24"/>
          <w:szCs w:val="24"/>
        </w:rPr>
        <w:t>(</w:t>
      </w:r>
      <w:r w:rsidRPr="00600B3B">
        <w:rPr>
          <w:sz w:val="24"/>
          <w:szCs w:val="24"/>
        </w:rPr>
        <w:t>ADTPME, FAIEJ, ANADEB, ANPGF, ANVT</w:t>
      </w:r>
      <w:r>
        <w:rPr>
          <w:sz w:val="24"/>
          <w:szCs w:val="24"/>
        </w:rPr>
        <w:t>)</w:t>
      </w:r>
      <w:r w:rsidRPr="00600B3B">
        <w:rPr>
          <w:sz w:val="24"/>
          <w:szCs w:val="24"/>
        </w:rPr>
        <w:t xml:space="preserve"> présent sur l’ensemble du territoire.</w:t>
      </w:r>
    </w:p>
    <w:p w14:paraId="58F69518" w14:textId="77777777" w:rsidR="00600B3B" w:rsidRPr="00600B3B" w:rsidRDefault="00600B3B" w:rsidP="00600B3B">
      <w:pPr>
        <w:spacing w:line="360" w:lineRule="auto"/>
        <w:jc w:val="both"/>
        <w:rPr>
          <w:sz w:val="24"/>
          <w:szCs w:val="24"/>
        </w:rPr>
      </w:pPr>
      <w:r w:rsidRPr="00600B3B">
        <w:rPr>
          <w:sz w:val="24"/>
          <w:szCs w:val="24"/>
        </w:rPr>
        <w:t>L’analyse de ces dispositifs fait ressortir un besoin récurrent : les programmes forment et financent massivement, mais les bénéficiaires restent en gestion manuelle après l’intervention, et le ministère manque de données fiables pour mesurer l’impact réel de ses actions et répondre aux exigences de redevabilité de ses bailleurs. Le PAJEC a d’ailleurs été conçu pour corriger la limite des programmes antérieurs, où les jeunes étaient accompagnés puis livrés à eux-mêmes ; un outil de suivi continu en est le complément naturel. C’est ce chaînon - la continuité entre la formation, le financement et la gestion quotidienne - qu’un partenariat avec GAMEASU vient combler.</w:t>
      </w:r>
    </w:p>
    <w:p w14:paraId="68F028CE" w14:textId="77777777" w:rsidR="00600B3B" w:rsidRDefault="00600B3B" w:rsidP="00600B3B">
      <w:pPr>
        <w:spacing w:line="360" w:lineRule="auto"/>
        <w:jc w:val="both"/>
        <w:rPr>
          <w:b/>
          <w:bCs/>
          <w:sz w:val="24"/>
          <w:szCs w:val="24"/>
          <w:u w:val="single"/>
        </w:rPr>
      </w:pPr>
    </w:p>
    <w:p w14:paraId="37A57A96" w14:textId="77777777" w:rsidR="00600B3B" w:rsidRDefault="00600B3B" w:rsidP="00600B3B">
      <w:pPr>
        <w:spacing w:line="360" w:lineRule="auto"/>
        <w:jc w:val="both"/>
        <w:rPr>
          <w:b/>
          <w:bCs/>
          <w:sz w:val="24"/>
          <w:szCs w:val="24"/>
          <w:u w:val="single"/>
        </w:rPr>
      </w:pPr>
    </w:p>
    <w:p w14:paraId="06C29942" w14:textId="189360AA" w:rsidR="00600B3B" w:rsidRPr="00600B3B" w:rsidRDefault="00600B3B" w:rsidP="00600B3B">
      <w:pPr>
        <w:spacing w:line="360" w:lineRule="auto"/>
        <w:jc w:val="both"/>
        <w:rPr>
          <w:b/>
          <w:bCs/>
          <w:sz w:val="24"/>
          <w:szCs w:val="24"/>
          <w:u w:val="single"/>
        </w:rPr>
      </w:pPr>
      <w:r w:rsidRPr="00600B3B">
        <w:rPr>
          <w:b/>
          <w:bCs/>
          <w:sz w:val="24"/>
          <w:szCs w:val="24"/>
          <w:u w:val="single"/>
        </w:rPr>
        <w:lastRenderedPageBreak/>
        <w:t>3. GAMEASU : un outil et un accompagnement, pas un simple logiciel</w:t>
      </w:r>
    </w:p>
    <w:p w14:paraId="727E1CCA" w14:textId="5DDA3E42" w:rsidR="00600B3B" w:rsidRPr="00600B3B" w:rsidRDefault="00600B3B" w:rsidP="00600B3B">
      <w:pPr>
        <w:spacing w:line="360" w:lineRule="auto"/>
        <w:jc w:val="both"/>
        <w:rPr>
          <w:sz w:val="24"/>
          <w:szCs w:val="24"/>
        </w:rPr>
      </w:pPr>
      <w:r w:rsidRPr="00600B3B">
        <w:rPr>
          <w:sz w:val="24"/>
          <w:szCs w:val="24"/>
        </w:rPr>
        <w:t>GAMEASU est un ERP tout-en-un pensé pour les réalités des PME, coopératives, associations et organisations ; avec une interface entièrement en français, une prise en main simple pour des utilisateurs non spécialistes (sur ordinateur ou sur téléphone), et une couverture fonctionnelle complète - ventes, clients, dépenses, trésorerie, stocks, facturation, projets, budgets, gestion d’équipe et rapports - réunie dans une application unique plutôt que dispersée entre plusieurs outils. Dans le cadre d’un partenariat avec le MDBESS, GAMEASU ne se présente pas comme un logiciel mis à disposition et laissé à l’initiative de chacun, mais comme une plateforme d’accompagnement : l’outil structure les pratiques de gestion, des experts forment les bénéficiaires à son usage comme aux métiers de l’entreprise, et les données produites alimentent le pilotage des programmes publics.</w:t>
      </w:r>
    </w:p>
    <w:p w14:paraId="6B236AD7" w14:textId="77777777" w:rsidR="00600B3B" w:rsidRPr="00600B3B" w:rsidRDefault="00600B3B" w:rsidP="00600B3B">
      <w:pPr>
        <w:spacing w:line="360" w:lineRule="auto"/>
        <w:jc w:val="both"/>
        <w:rPr>
          <w:sz w:val="24"/>
          <w:szCs w:val="24"/>
        </w:rPr>
      </w:pPr>
      <w:r w:rsidRPr="00600B3B">
        <w:rPr>
          <w:sz w:val="24"/>
          <w:szCs w:val="24"/>
        </w:rPr>
        <w:t>Concrètement, l’outil remplace les cahiers, carnets de reçus et fichiers épars par un registre numérique unique et traçable, et impose une discipline de gestion - chaque ressource / chaque charge est enregistrée - qui prolonge la formation bien après la fin des sessions. Il rend chaque bénéficiaire capable de produire une facture professionnelle, un état de trésorerie ou un rapport d’activité, autant de conditions d’accès au crédit et aux marchés publics. Il produit, de manière agrégée et anonymisée, les indicateurs dont le ministère et ses bailleurs ont besoin pour mesurer l’impact réel de leurs programmes.</w:t>
      </w:r>
    </w:p>
    <w:p w14:paraId="48C6A4E1" w14:textId="77777777" w:rsidR="00600B3B" w:rsidRPr="00600B3B" w:rsidRDefault="00600B3B" w:rsidP="00600B3B">
      <w:pPr>
        <w:spacing w:line="360" w:lineRule="auto"/>
        <w:jc w:val="both"/>
        <w:rPr>
          <w:sz w:val="24"/>
          <w:szCs w:val="24"/>
        </w:rPr>
      </w:pPr>
      <w:r w:rsidRPr="00600B3B">
        <w:rPr>
          <w:sz w:val="24"/>
          <w:szCs w:val="24"/>
        </w:rPr>
        <w:t>Cet outil est porté par des experts GAMEASU - praticiens de la finance, de la comptabilité, de la gestion commerciale et de la conduite de projet - qui forment les bénéficiaires à la fois à l’utilisation de l’ERP et aux domaines métiers qu’il couvre : gestion d’entreprise, vente, tarification, budget, comptabilité simplifiée, ressources humaines, paie, recrutement, gestion de projet et pilotage de la performance. Cette double compétence - l’outil et le métier - est le cœur de la proposition de valeur du partenariat.</w:t>
      </w:r>
    </w:p>
    <w:p w14:paraId="051074C0" w14:textId="77777777" w:rsidR="00600B3B" w:rsidRDefault="00600B3B" w:rsidP="00600B3B">
      <w:pPr>
        <w:spacing w:line="360" w:lineRule="auto"/>
        <w:jc w:val="both"/>
        <w:rPr>
          <w:b/>
          <w:bCs/>
          <w:sz w:val="24"/>
          <w:szCs w:val="24"/>
          <w:u w:val="single"/>
        </w:rPr>
      </w:pPr>
    </w:p>
    <w:p w14:paraId="07B01F70" w14:textId="605A58E0" w:rsidR="00600B3B" w:rsidRPr="00600B3B" w:rsidRDefault="00600B3B" w:rsidP="00600B3B">
      <w:pPr>
        <w:spacing w:line="360" w:lineRule="auto"/>
        <w:jc w:val="both"/>
        <w:rPr>
          <w:b/>
          <w:bCs/>
          <w:sz w:val="24"/>
          <w:szCs w:val="24"/>
          <w:u w:val="single"/>
        </w:rPr>
      </w:pPr>
      <w:r w:rsidRPr="00600B3B">
        <w:rPr>
          <w:b/>
          <w:bCs/>
          <w:sz w:val="24"/>
          <w:szCs w:val="24"/>
          <w:u w:val="single"/>
        </w:rPr>
        <w:t>4. Ce que le partenariat change concrètement pour l’entrepreneur</w:t>
      </w:r>
    </w:p>
    <w:p w14:paraId="0AB2BB0C" w14:textId="77777777" w:rsidR="00600B3B" w:rsidRPr="00600B3B" w:rsidRDefault="00600B3B" w:rsidP="00600B3B">
      <w:pPr>
        <w:spacing w:line="360" w:lineRule="auto"/>
        <w:jc w:val="both"/>
        <w:rPr>
          <w:sz w:val="24"/>
          <w:szCs w:val="24"/>
        </w:rPr>
      </w:pPr>
      <w:r w:rsidRPr="00600B3B">
        <w:rPr>
          <w:sz w:val="24"/>
          <w:szCs w:val="24"/>
        </w:rPr>
        <w:t>La valeur du partenariat ne se mesure pas seulement au niveau du ministère : elle se joue d’abord dans le quotidien de l’entrepreneur, de la femme entrepreneure ou de la coopérative qui utilise l’outil. C’est cette valeur qui justifie l’adoption.</w:t>
      </w:r>
    </w:p>
    <w:p w14:paraId="05BE670C" w14:textId="77777777" w:rsidR="00600B3B" w:rsidRPr="00600B3B" w:rsidRDefault="00600B3B" w:rsidP="00600B3B">
      <w:pPr>
        <w:spacing w:line="360" w:lineRule="auto"/>
        <w:jc w:val="both"/>
        <w:rPr>
          <w:sz w:val="24"/>
          <w:szCs w:val="24"/>
        </w:rPr>
      </w:pPr>
      <w:r w:rsidRPr="00600B3B">
        <w:rPr>
          <w:sz w:val="24"/>
          <w:szCs w:val="24"/>
        </w:rPr>
        <w:t xml:space="preserve">Le premier bénéfice est la fin de la gestion à vue. Un entrepreneur qui tenait ses comptes sur un cahier ou dans sa mémoire dispose, dès les premières semaines </w:t>
      </w:r>
      <w:r w:rsidRPr="00600B3B">
        <w:rPr>
          <w:sz w:val="24"/>
          <w:szCs w:val="24"/>
        </w:rPr>
        <w:lastRenderedPageBreak/>
        <w:t>d’usage, d’une vision claire de ses ventes, de ses dépenses et de sa marge réelle - souvent très différente de ce qu’il croyait. Cette visibilité change immédiatement la qualité de ses décisions : quoi produire, quoi vendre, quand réapprovisionner, quel prix pratiquer.</w:t>
      </w:r>
    </w:p>
    <w:p w14:paraId="7483E6DC" w14:textId="77777777" w:rsidR="00600B3B" w:rsidRPr="00600B3B" w:rsidRDefault="00600B3B" w:rsidP="00600B3B">
      <w:pPr>
        <w:spacing w:line="360" w:lineRule="auto"/>
        <w:jc w:val="both"/>
        <w:rPr>
          <w:sz w:val="24"/>
          <w:szCs w:val="24"/>
        </w:rPr>
      </w:pPr>
      <w:r w:rsidRPr="00600B3B">
        <w:rPr>
          <w:sz w:val="24"/>
          <w:szCs w:val="24"/>
        </w:rPr>
        <w:t>Le deuxième bénéfice est la crédibilité. L’outil permet de facturer professionnellement, de suivre ses clients et de relancer les impayés, de contrôler ses stocks et de suivre sa trésorerie en temps réel. Un entrepreneur qui peut produire, en quelques clics, un historique de ventes, un état de trésorerie ou un rapport d’activités présente un dossier plus solide face à une banque, un bailleur de fonds ou un acheteur institutionnel qu’un dossier fondé sur des estimations orales. C’est précisément ce qui manque aujourd’hui à la majorité des bénéficiaires des programmes du ministère pour transformer un accompagnement ponctuel en accès durable au financement.</w:t>
      </w:r>
    </w:p>
    <w:p w14:paraId="033C8C46" w14:textId="77777777" w:rsidR="00600B3B" w:rsidRPr="00600B3B" w:rsidRDefault="00600B3B" w:rsidP="00600B3B">
      <w:pPr>
        <w:spacing w:line="360" w:lineRule="auto"/>
        <w:jc w:val="both"/>
        <w:rPr>
          <w:sz w:val="24"/>
          <w:szCs w:val="24"/>
        </w:rPr>
      </w:pPr>
      <w:r w:rsidRPr="00600B3B">
        <w:rPr>
          <w:sz w:val="24"/>
          <w:szCs w:val="24"/>
        </w:rPr>
        <w:t>Le troisième bénéfice est la continuité de l’apprentissage. Parce que chaque notion de gestion - vente, dépense, budget, trésorerie - est immédiatement appliquée dans sa propre organisation, l’entrepreneur ne repart pas d’une formation avec un cahier de notes qu’il n’ouvrira plus, mais avec un système déjà opérationnel et alimenté par ses propres données. C’est ce qui réduit l’écart, très classique dans les programmes de formation, entre ce qui est enseigné et ce qui est réellement appliqué par la suite.</w:t>
      </w:r>
    </w:p>
    <w:p w14:paraId="44DE00C4" w14:textId="77777777" w:rsidR="00600B3B" w:rsidRPr="00600B3B" w:rsidRDefault="00600B3B" w:rsidP="00600B3B">
      <w:pPr>
        <w:spacing w:line="360" w:lineRule="auto"/>
        <w:jc w:val="both"/>
        <w:rPr>
          <w:sz w:val="24"/>
          <w:szCs w:val="24"/>
        </w:rPr>
      </w:pPr>
      <w:r w:rsidRPr="00600B3B">
        <w:rPr>
          <w:sz w:val="24"/>
          <w:szCs w:val="24"/>
        </w:rPr>
        <w:t>Le quatrième bénéfice, enfin, est la séparation entre les finances personnelles et celles de l’activité - une des premières étapes, souvent négligée, de la professionnalisation d’une petite entreprise. En consolidant clients, produits, stocks et trésorerie dans un registre unique, l’entrepreneur construit progressivement un historique d’activités entrepreneuriales vérifiable, qui devient un actif en soi : c’est cet historique qui appuiera son prochain dossier de crédit, sa candidature à un marché réservé ou sa demande de subvention. Pour le bénéficiaire, l’ERP n’est donc pas une contrainte administrative supplémentaire imposée par le ministère, mais un outil qui travaille directement dans son intérêt économique immédiat - ce qui explique pourquoi son adoption tend à se maintenir bien au-delà de la période de formation.</w:t>
      </w:r>
    </w:p>
    <w:p w14:paraId="4E57D879" w14:textId="77777777" w:rsidR="00600B3B" w:rsidRDefault="00600B3B" w:rsidP="00600B3B">
      <w:pPr>
        <w:spacing w:line="360" w:lineRule="auto"/>
        <w:jc w:val="both"/>
        <w:rPr>
          <w:b/>
          <w:bCs/>
          <w:sz w:val="24"/>
          <w:szCs w:val="24"/>
          <w:u w:val="single"/>
        </w:rPr>
      </w:pPr>
    </w:p>
    <w:p w14:paraId="13D046E9" w14:textId="635BA863" w:rsidR="00600B3B" w:rsidRPr="00600B3B" w:rsidRDefault="00600B3B" w:rsidP="00600B3B">
      <w:pPr>
        <w:spacing w:line="360" w:lineRule="auto"/>
        <w:jc w:val="both"/>
        <w:rPr>
          <w:b/>
          <w:bCs/>
          <w:sz w:val="24"/>
          <w:szCs w:val="24"/>
          <w:u w:val="single"/>
        </w:rPr>
      </w:pPr>
      <w:r w:rsidRPr="00600B3B">
        <w:rPr>
          <w:b/>
          <w:bCs/>
          <w:sz w:val="24"/>
          <w:szCs w:val="24"/>
          <w:u w:val="single"/>
        </w:rPr>
        <w:t>5. Une seule logique, plusieurs points d’entrée dans le partenariat</w:t>
      </w:r>
    </w:p>
    <w:p w14:paraId="383D0BBF" w14:textId="14C5A4D6" w:rsidR="00600B3B" w:rsidRPr="00600B3B" w:rsidRDefault="00600B3B" w:rsidP="00600B3B">
      <w:pPr>
        <w:spacing w:line="360" w:lineRule="auto"/>
        <w:jc w:val="both"/>
        <w:rPr>
          <w:sz w:val="24"/>
          <w:szCs w:val="24"/>
        </w:rPr>
      </w:pPr>
      <w:r w:rsidRPr="00600B3B">
        <w:rPr>
          <w:sz w:val="24"/>
          <w:szCs w:val="24"/>
        </w:rPr>
        <w:t xml:space="preserve">Plutôt que </w:t>
      </w:r>
      <w:r>
        <w:rPr>
          <w:sz w:val="24"/>
          <w:szCs w:val="24"/>
        </w:rPr>
        <w:t>plusieurs</w:t>
      </w:r>
      <w:r w:rsidRPr="00600B3B">
        <w:rPr>
          <w:sz w:val="24"/>
          <w:szCs w:val="24"/>
        </w:rPr>
        <w:t xml:space="preserve"> dispositifs indépendants, le partenariat repose sur une logique unique </w:t>
      </w:r>
      <w:r>
        <w:rPr>
          <w:sz w:val="24"/>
          <w:szCs w:val="24"/>
        </w:rPr>
        <w:t>(</w:t>
      </w:r>
      <w:r w:rsidRPr="00600B3B">
        <w:rPr>
          <w:sz w:val="24"/>
          <w:szCs w:val="24"/>
        </w:rPr>
        <w:t>équiper, former, suivre</w:t>
      </w:r>
      <w:r>
        <w:rPr>
          <w:sz w:val="24"/>
          <w:szCs w:val="24"/>
        </w:rPr>
        <w:t>)</w:t>
      </w:r>
      <w:r w:rsidRPr="00600B3B">
        <w:rPr>
          <w:sz w:val="24"/>
          <w:szCs w:val="24"/>
        </w:rPr>
        <w:t xml:space="preserve"> déclinée selon le point d’entrée choisi par le ministère. Trois briques en forment le socle.</w:t>
      </w:r>
    </w:p>
    <w:p w14:paraId="18F87395" w14:textId="05E5B335" w:rsidR="00600B3B" w:rsidRPr="00600B3B" w:rsidRDefault="00600B3B" w:rsidP="00600B3B">
      <w:pPr>
        <w:pStyle w:val="Paragraphedeliste"/>
        <w:numPr>
          <w:ilvl w:val="1"/>
          <w:numId w:val="11"/>
        </w:numPr>
        <w:spacing w:line="360" w:lineRule="auto"/>
        <w:jc w:val="both"/>
        <w:rPr>
          <w:sz w:val="24"/>
          <w:szCs w:val="24"/>
        </w:rPr>
      </w:pPr>
      <w:r w:rsidRPr="00600B3B">
        <w:rPr>
          <w:sz w:val="24"/>
          <w:szCs w:val="24"/>
        </w:rPr>
        <w:lastRenderedPageBreak/>
        <w:t>La première est l’accès à l’ERP lui-même, sous licence institutionnelle, pour les entrepreneurs, TPME, coopératives et structures accompagnés par le ministère et ses agences (ADTPME, FAIEJ, ANADEB, ANPGF).</w:t>
      </w:r>
    </w:p>
    <w:p w14:paraId="0E76E2C4" w14:textId="67B13C51" w:rsidR="00600B3B" w:rsidRPr="00600B3B" w:rsidRDefault="00600B3B" w:rsidP="00600B3B">
      <w:pPr>
        <w:pStyle w:val="Paragraphedeliste"/>
        <w:numPr>
          <w:ilvl w:val="1"/>
          <w:numId w:val="11"/>
        </w:numPr>
        <w:spacing w:line="360" w:lineRule="auto"/>
        <w:jc w:val="both"/>
        <w:rPr>
          <w:sz w:val="24"/>
          <w:szCs w:val="24"/>
        </w:rPr>
      </w:pPr>
      <w:r w:rsidRPr="00600B3B">
        <w:rPr>
          <w:sz w:val="24"/>
          <w:szCs w:val="24"/>
        </w:rPr>
        <w:t>La deuxième est la formation à la gestion d’entreprise directement dans l’outil : chaque notion enseignée - vente, dépense, trésorerie, budget - est immédiatement appliquée dans l’organisation GAMEASU du participant, selon une logique d’apprendre-en-faisant qui laisse un système opérationnel à l’issue de la session.</w:t>
      </w:r>
    </w:p>
    <w:p w14:paraId="01E61F32" w14:textId="52716156" w:rsidR="00600B3B" w:rsidRPr="00600B3B" w:rsidRDefault="00600B3B" w:rsidP="00600B3B">
      <w:pPr>
        <w:pStyle w:val="Paragraphedeliste"/>
        <w:numPr>
          <w:ilvl w:val="1"/>
          <w:numId w:val="11"/>
        </w:numPr>
        <w:spacing w:line="360" w:lineRule="auto"/>
        <w:jc w:val="both"/>
        <w:rPr>
          <w:sz w:val="24"/>
          <w:szCs w:val="24"/>
        </w:rPr>
      </w:pPr>
      <w:r w:rsidRPr="00600B3B">
        <w:rPr>
          <w:sz w:val="24"/>
          <w:szCs w:val="24"/>
        </w:rPr>
        <w:t>La troisième est le tableau de bord institutionnel, qui donne au ministère une vision agrégée et continue de l’adoption et de l’activité de ses cohortes.</w:t>
      </w:r>
    </w:p>
    <w:p w14:paraId="74477829" w14:textId="77777777" w:rsidR="00600B3B" w:rsidRPr="00600B3B" w:rsidRDefault="00600B3B" w:rsidP="00600B3B">
      <w:pPr>
        <w:spacing w:line="360" w:lineRule="auto"/>
        <w:jc w:val="both"/>
        <w:rPr>
          <w:sz w:val="24"/>
          <w:szCs w:val="24"/>
        </w:rPr>
      </w:pPr>
      <w:r w:rsidRPr="00600B3B">
        <w:rPr>
          <w:sz w:val="24"/>
          <w:szCs w:val="24"/>
        </w:rPr>
        <w:t>Autour de ce socle, quatre extensions permettent d’approfondir ou d’étendre le dispositif selon les priorités du ministère.</w:t>
      </w:r>
    </w:p>
    <w:p w14:paraId="74D9A32C" w14:textId="0A451DD9" w:rsidR="00600B3B" w:rsidRPr="00600B3B" w:rsidRDefault="00600B3B" w:rsidP="00600B3B">
      <w:pPr>
        <w:pStyle w:val="Paragraphedeliste"/>
        <w:numPr>
          <w:ilvl w:val="0"/>
          <w:numId w:val="12"/>
        </w:numPr>
        <w:spacing w:line="360" w:lineRule="auto"/>
        <w:jc w:val="both"/>
        <w:rPr>
          <w:sz w:val="24"/>
          <w:szCs w:val="24"/>
        </w:rPr>
      </w:pPr>
      <w:r w:rsidRPr="00600B3B">
        <w:rPr>
          <w:sz w:val="24"/>
          <w:szCs w:val="24"/>
        </w:rPr>
        <w:t>Le programme « Entrepreneur digitalisé » accompagne le passage d’une gestion manuelle - cahiers, carnets de reçus, fichiers dispersés - vers une gestion centralisée dans GAMEASU, en 90 jours et avec un badge à la clé, en ligne directe avec la stratégie nationale de digitalisation et d’inclusion financière.</w:t>
      </w:r>
    </w:p>
    <w:p w14:paraId="5C55BD81" w14:textId="15CE83EF" w:rsidR="00600B3B" w:rsidRPr="00600B3B" w:rsidRDefault="00600B3B" w:rsidP="00600B3B">
      <w:pPr>
        <w:pStyle w:val="Paragraphedeliste"/>
        <w:numPr>
          <w:ilvl w:val="0"/>
          <w:numId w:val="12"/>
        </w:numPr>
        <w:spacing w:line="360" w:lineRule="auto"/>
        <w:jc w:val="both"/>
        <w:rPr>
          <w:sz w:val="24"/>
          <w:szCs w:val="24"/>
        </w:rPr>
      </w:pPr>
      <w:r w:rsidRPr="00600B3B">
        <w:rPr>
          <w:sz w:val="24"/>
          <w:szCs w:val="24"/>
        </w:rPr>
        <w:t>La formation sectorielle et métier mobilise les experts GAMEASU au-delà de l’outil, pour renforcer les compétences commerciales, financières et organisationnelles des bénéficiaires, filière par filière.</w:t>
      </w:r>
    </w:p>
    <w:p w14:paraId="6053D4B4" w14:textId="03CD0EE6" w:rsidR="00600B3B" w:rsidRPr="00600B3B" w:rsidRDefault="00600B3B" w:rsidP="00600B3B">
      <w:pPr>
        <w:pStyle w:val="Paragraphedeliste"/>
        <w:numPr>
          <w:ilvl w:val="0"/>
          <w:numId w:val="12"/>
        </w:numPr>
        <w:spacing w:line="360" w:lineRule="auto"/>
        <w:jc w:val="both"/>
        <w:rPr>
          <w:sz w:val="24"/>
          <w:szCs w:val="24"/>
        </w:rPr>
      </w:pPr>
      <w:r w:rsidRPr="00600B3B">
        <w:rPr>
          <w:sz w:val="24"/>
          <w:szCs w:val="24"/>
        </w:rPr>
        <w:t>La « formation de formateurs » transfère les compétences aux conseillers et agents du ministère et de ses agences (FAIEJ, ADTPME, ANADEB), qui deviennent à leur tour des relais internes : c’est le levier de durabilité du dispositif, celui qui réduit la dépendance à l’assistance externe et démultiplie la portée territoriale via le réseau existant.</w:t>
      </w:r>
    </w:p>
    <w:p w14:paraId="0B13EB3D" w14:textId="1896CBBA" w:rsidR="00600B3B" w:rsidRPr="00600B3B" w:rsidRDefault="00600B3B" w:rsidP="00600B3B">
      <w:pPr>
        <w:pStyle w:val="Paragraphedeliste"/>
        <w:numPr>
          <w:ilvl w:val="0"/>
          <w:numId w:val="12"/>
        </w:numPr>
        <w:spacing w:line="360" w:lineRule="auto"/>
        <w:jc w:val="both"/>
        <w:rPr>
          <w:sz w:val="24"/>
          <w:szCs w:val="24"/>
        </w:rPr>
      </w:pPr>
      <w:r w:rsidRPr="00600B3B">
        <w:rPr>
          <w:sz w:val="24"/>
          <w:szCs w:val="24"/>
        </w:rPr>
        <w:t>Enfin, l’accompagnement post-financement adosse GAMEASU aux dispositifs de crédit et de subvention du ministère (PAJEC, FAIEJ, ANPGF) pour suivre, après le décaissement, l’usage des fonds et la trajectoire du bénéficiaire - répondant ainsi à une limite documentée des programmes antérieurs, où l’accompagnement s’arrêtait au versement des fonds.</w:t>
      </w:r>
    </w:p>
    <w:p w14:paraId="379BAB34" w14:textId="394EA3D2" w:rsidR="00600B3B" w:rsidRPr="00600B3B" w:rsidRDefault="00600B3B" w:rsidP="00600B3B">
      <w:pPr>
        <w:spacing w:line="360" w:lineRule="auto"/>
        <w:jc w:val="both"/>
        <w:rPr>
          <w:sz w:val="24"/>
          <w:szCs w:val="24"/>
        </w:rPr>
      </w:pPr>
      <w:r w:rsidRPr="00600B3B">
        <w:rPr>
          <w:sz w:val="24"/>
          <w:szCs w:val="24"/>
        </w:rPr>
        <w:t>Ces sept briques se combinent librement, mais la voie la plus crédible pour engager la collaboration reste un programme pilote de six mois, qui réunit l’accès à l’ERP, la formation et le tableau de bord sur une cohorte restreinte, avant toute généralisation (voir section 7).</w:t>
      </w:r>
    </w:p>
    <w:p w14:paraId="6DC48A01" w14:textId="7D516BA6" w:rsidR="00600B3B" w:rsidRPr="00600B3B" w:rsidRDefault="00600B3B" w:rsidP="00600B3B">
      <w:pPr>
        <w:spacing w:line="360" w:lineRule="auto"/>
        <w:jc w:val="both"/>
        <w:rPr>
          <w:b/>
          <w:bCs/>
          <w:sz w:val="24"/>
          <w:szCs w:val="24"/>
          <w:u w:val="single"/>
        </w:rPr>
      </w:pPr>
      <w:r w:rsidRPr="00600B3B">
        <w:rPr>
          <w:b/>
          <w:bCs/>
          <w:sz w:val="24"/>
          <w:szCs w:val="24"/>
          <w:u w:val="single"/>
        </w:rPr>
        <w:lastRenderedPageBreak/>
        <w:t>6. Le tableau de bord institutionnel : du déclaratif au réel</w:t>
      </w:r>
    </w:p>
    <w:p w14:paraId="27EF2DE5" w14:textId="77777777" w:rsidR="00600B3B" w:rsidRPr="00600B3B" w:rsidRDefault="00600B3B" w:rsidP="00600B3B">
      <w:pPr>
        <w:spacing w:line="360" w:lineRule="auto"/>
        <w:jc w:val="both"/>
        <w:rPr>
          <w:sz w:val="24"/>
          <w:szCs w:val="24"/>
        </w:rPr>
      </w:pPr>
      <w:r w:rsidRPr="00600B3B">
        <w:rPr>
          <w:sz w:val="24"/>
          <w:szCs w:val="24"/>
        </w:rPr>
        <w:t>L’usage quotidien de GAMEASU par les bénéficiaires produit un flux de données d’activité réelles - ventes, dépenses, factures émises, projets actifs, emplois suivis - que le tableau de bord institutionnel consolide, de manière agrégée, pour le ministère, ses agences et, sur habilitation, ses partenaires techniques et financiers. Le ministère passe ainsi d’un reporting largement déclaratif à des indicateurs alimentés par l’usage effectif de l’outil, ce qui répond directement aux exigences de redevabilité de bailleurs comme la BAD, la KfW, l’AFD ou le PNUD, et vient également appuyer le recensement national des entités de l’économie sociale et solidaire actuellement mené par le ministère.</w:t>
      </w:r>
    </w:p>
    <w:p w14:paraId="1DC06277" w14:textId="77777777" w:rsidR="00600B3B" w:rsidRPr="00600B3B" w:rsidRDefault="00600B3B" w:rsidP="00600B3B">
      <w:pPr>
        <w:spacing w:line="360" w:lineRule="auto"/>
        <w:jc w:val="both"/>
        <w:rPr>
          <w:sz w:val="24"/>
          <w:szCs w:val="24"/>
        </w:rPr>
      </w:pPr>
      <w:r w:rsidRPr="00600B3B">
        <w:rPr>
          <w:sz w:val="24"/>
          <w:szCs w:val="24"/>
        </w:rPr>
        <w:t>Cette centralisation de données est encadrée strictement : seules des données agrégées et anonymisées sont exposées au niveau institutionnel, aucune donnée nominative individuelle n’étant accessible sans base légale. Le consentement des bénéficiaires est recueilli dès l’ouverture du compte, l’hébergement est sécurisé et chiffré, les accès sont journalisés et attribués par rôle, et l’ensemble du dispositif se conforme à la loi togolaise sur la protection des données personnelles (loi n° 2019-014) et au cadre de l’IPDCP.</w:t>
      </w:r>
    </w:p>
    <w:p w14:paraId="2AF4CB93" w14:textId="77777777" w:rsidR="00600B3B" w:rsidRDefault="00600B3B" w:rsidP="00600B3B">
      <w:pPr>
        <w:spacing w:line="360" w:lineRule="auto"/>
        <w:jc w:val="both"/>
        <w:rPr>
          <w:b/>
          <w:bCs/>
          <w:sz w:val="24"/>
          <w:szCs w:val="24"/>
          <w:u w:val="single"/>
        </w:rPr>
      </w:pPr>
    </w:p>
    <w:p w14:paraId="788E3283" w14:textId="6A03B2F2" w:rsidR="00600B3B" w:rsidRPr="00600B3B" w:rsidRDefault="00600B3B" w:rsidP="00600B3B">
      <w:pPr>
        <w:spacing w:line="360" w:lineRule="auto"/>
        <w:jc w:val="both"/>
        <w:rPr>
          <w:b/>
          <w:bCs/>
          <w:sz w:val="24"/>
          <w:szCs w:val="24"/>
          <w:u w:val="single"/>
        </w:rPr>
      </w:pPr>
      <w:r w:rsidRPr="00600B3B">
        <w:rPr>
          <w:b/>
          <w:bCs/>
          <w:sz w:val="24"/>
          <w:szCs w:val="24"/>
          <w:u w:val="single"/>
        </w:rPr>
        <w:t>7. Financer l’accès à l’ERP : un service payant, plusieurs manières de le prendre en charge</w:t>
      </w:r>
    </w:p>
    <w:p w14:paraId="0234D024" w14:textId="0C32A231" w:rsidR="00600B3B" w:rsidRPr="00600B3B" w:rsidRDefault="00600B3B" w:rsidP="00600B3B">
      <w:pPr>
        <w:spacing w:line="360" w:lineRule="auto"/>
        <w:jc w:val="both"/>
        <w:rPr>
          <w:sz w:val="24"/>
          <w:szCs w:val="24"/>
        </w:rPr>
      </w:pPr>
      <w:r w:rsidRPr="00600B3B">
        <w:rPr>
          <w:sz w:val="24"/>
          <w:szCs w:val="24"/>
        </w:rPr>
        <w:t>GAMEASU reste, dans son principe, un service commercial : chaque organisation créée sur la plateforme correspond à un abonnement, et la valeur décrite plus haut - gestion structurée, crédibilité financière, données fiables - a un coût de fourniture, d’accompagnement et de support. La question n’est donc pas de savoir si l’ERP est gratuit, mais qui, du ministère, du bénéficiaire ou d’un bailleur tiers, prend en charge le coût, et selon quelle proportion. Quatre montages, combinables et séquençables, permettent d’adapter le financement aux capacités budgétaires du ministère et aux opportunités de cofinancement, sans jamais faire du prix un obstacle à l’adoption.</w:t>
      </w:r>
    </w:p>
    <w:p w14:paraId="3F21B4FE" w14:textId="77777777" w:rsidR="00600B3B" w:rsidRPr="00600B3B" w:rsidRDefault="00600B3B" w:rsidP="00600B3B">
      <w:pPr>
        <w:spacing w:line="360" w:lineRule="auto"/>
        <w:jc w:val="both"/>
        <w:rPr>
          <w:sz w:val="24"/>
          <w:szCs w:val="24"/>
        </w:rPr>
      </w:pPr>
      <w:r w:rsidRPr="00600B3B">
        <w:rPr>
          <w:sz w:val="24"/>
          <w:szCs w:val="24"/>
        </w:rPr>
        <w:t>La licence financée par le ministère. Le ministère prend entièrement en charge l’accès à GAMEASU pour une cohorte définie de bénéficiaires, via une licence institutionnelle annuelle assortie d’un tarif dégressif selon le volume. C’est l’option la plus simple à mettre en œuvre pour le bénéficiaire, qui n’a aucune contribution à verser, mais elle repose entièrement sur le budget du ministère.</w:t>
      </w:r>
    </w:p>
    <w:p w14:paraId="0B294BCC" w14:textId="77777777" w:rsidR="00600B3B" w:rsidRPr="00600B3B" w:rsidRDefault="00600B3B" w:rsidP="00600B3B">
      <w:pPr>
        <w:spacing w:line="360" w:lineRule="auto"/>
        <w:jc w:val="both"/>
        <w:rPr>
          <w:sz w:val="24"/>
          <w:szCs w:val="24"/>
        </w:rPr>
      </w:pPr>
      <w:r w:rsidRPr="00600B3B">
        <w:rPr>
          <w:sz w:val="24"/>
          <w:szCs w:val="24"/>
        </w:rPr>
        <w:lastRenderedPageBreak/>
        <w:t>Le co-financement. Le ministère prend en charge l’essentiel du coût, mais le bénéficiaire verse une contribution symbolique. Cette participation, même modeste, joue un rôle d’engagement : elle responsabilise l’utilisateur et tend, en pratique, à améliorer le taux d’usage effectif par rapport à un accès entièrement gratuit. C’est l’option recommandée en régime de croisière, une fois que le dispositif dépasse le stade pilote.</w:t>
      </w:r>
    </w:p>
    <w:p w14:paraId="4A4D7B38" w14:textId="77777777" w:rsidR="00600B3B" w:rsidRPr="00600B3B" w:rsidRDefault="00600B3B" w:rsidP="00600B3B">
      <w:pPr>
        <w:spacing w:line="360" w:lineRule="auto"/>
        <w:jc w:val="both"/>
        <w:rPr>
          <w:sz w:val="24"/>
          <w:szCs w:val="24"/>
        </w:rPr>
      </w:pPr>
      <w:r w:rsidRPr="00600B3B">
        <w:rPr>
          <w:sz w:val="24"/>
          <w:szCs w:val="24"/>
        </w:rPr>
        <w:t>Le package formation + ERP. Le ministère finance un forfait intégrant l’accès à l’ERP, la formation initiale et continue, l’accompagnement et le reporting institutionnel en un seul contrat. Cette formule simplifie la gestion budgétaire et contractuelle du ministère, en évitant de négocier séparément la licence et la formation, et s’adapte bien aux cohortes déjà identifiées par le PAJEC ou le FAIEJ.</w:t>
      </w:r>
    </w:p>
    <w:p w14:paraId="197CF055" w14:textId="77777777" w:rsidR="00600B3B" w:rsidRPr="00600B3B" w:rsidRDefault="00600B3B" w:rsidP="00600B3B">
      <w:pPr>
        <w:spacing w:line="360" w:lineRule="auto"/>
        <w:jc w:val="both"/>
        <w:rPr>
          <w:sz w:val="24"/>
          <w:szCs w:val="24"/>
        </w:rPr>
      </w:pPr>
      <w:r w:rsidRPr="00600B3B">
        <w:rPr>
          <w:sz w:val="24"/>
          <w:szCs w:val="24"/>
        </w:rPr>
        <w:t>Le programme sponsorisé par les bailleurs. Le dispositif est porté par des partenaires techniques et financiers - BAD, KfW, AFD, PNUD, GIZ - au titre des composantes « services non financiers » ou « digitalisation » de projets déjà en cours, le PAJEC prévoyant d’ailleurs explicitement des services non financiers aux TPME. Cette option permet de financer le déploiement sans mobiliser de budget ministériel supplémentaire, mais suppose un travail préalable de positionnement auprès des bailleurs concernés.</w:t>
      </w:r>
    </w:p>
    <w:p w14:paraId="691CB050" w14:textId="77777777" w:rsidR="00600B3B" w:rsidRDefault="00600B3B" w:rsidP="00600B3B">
      <w:pPr>
        <w:spacing w:line="360" w:lineRule="auto"/>
        <w:jc w:val="both"/>
        <w:rPr>
          <w:sz w:val="24"/>
          <w:szCs w:val="24"/>
        </w:rPr>
      </w:pPr>
      <w:r w:rsidRPr="00600B3B">
        <w:rPr>
          <w:sz w:val="24"/>
          <w:szCs w:val="24"/>
        </w:rPr>
        <w:t>Ces quatre options ne s’excluent pas : la séquence recommandée consiste à démarrer par le pilote subventionné, à basculer ensuite vers le package formation + ERP sur les cohortes déjà encadrées par le PAJEC et le FAIEJ, puis à rechercher une extension co-financée par les bailleurs - en maintenant, en régime de croisière, une contribution symbolique du bénéficiaire (option de co-financement) pour ancrer l’engagement dans la durée. Cette progression permet au ministère de ne jamais engager de budget conséquent avant d’avoir la preuve, chiffrée sur le pilote, que l’investissement produit les résultats attendus.</w:t>
      </w:r>
    </w:p>
    <w:p w14:paraId="7251E802" w14:textId="77777777" w:rsidR="00600B3B" w:rsidRPr="00600B3B" w:rsidRDefault="00600B3B" w:rsidP="00600B3B">
      <w:pPr>
        <w:spacing w:line="360" w:lineRule="auto"/>
        <w:jc w:val="both"/>
        <w:rPr>
          <w:sz w:val="24"/>
          <w:szCs w:val="24"/>
        </w:rPr>
      </w:pPr>
    </w:p>
    <w:p w14:paraId="0CA4D930" w14:textId="77777777" w:rsidR="00600B3B" w:rsidRPr="00600B3B" w:rsidRDefault="00600B3B" w:rsidP="00600B3B">
      <w:pPr>
        <w:spacing w:line="360" w:lineRule="auto"/>
        <w:jc w:val="both"/>
        <w:rPr>
          <w:b/>
          <w:bCs/>
          <w:sz w:val="24"/>
          <w:szCs w:val="24"/>
          <w:u w:val="single"/>
        </w:rPr>
      </w:pPr>
      <w:r w:rsidRPr="00600B3B">
        <w:rPr>
          <w:b/>
          <w:bCs/>
          <w:sz w:val="24"/>
          <w:szCs w:val="24"/>
          <w:u w:val="single"/>
        </w:rPr>
        <w:t>8. La phase pilote de six mois : la porte d’entrée recommandée</w:t>
      </w:r>
    </w:p>
    <w:p w14:paraId="2B2CBE09" w14:textId="77777777" w:rsidR="00600B3B" w:rsidRPr="00600B3B" w:rsidRDefault="00600B3B" w:rsidP="00600B3B">
      <w:pPr>
        <w:spacing w:line="360" w:lineRule="auto"/>
        <w:jc w:val="both"/>
        <w:rPr>
          <w:sz w:val="24"/>
          <w:szCs w:val="24"/>
        </w:rPr>
      </w:pPr>
      <w:r w:rsidRPr="00600B3B">
        <w:rPr>
          <w:sz w:val="24"/>
          <w:szCs w:val="24"/>
        </w:rPr>
        <w:t>Le programme pilote combine l’accès à l’ERP, la formation et le tableau de bord institutionnel sur une cohorte mixte de 50 à 100 bénéficiaires - jeunes entrepreneurs, femmes entrepreneures, coopératives, TPME et groupements - répartis sur deux à trois régions.</w:t>
      </w:r>
    </w:p>
    <w:p w14:paraId="6E833090" w14:textId="500358AE" w:rsidR="00600B3B" w:rsidRPr="00600B3B" w:rsidRDefault="00600B3B" w:rsidP="00600B3B">
      <w:pPr>
        <w:pStyle w:val="Paragraphedeliste"/>
        <w:numPr>
          <w:ilvl w:val="0"/>
          <w:numId w:val="13"/>
        </w:numPr>
        <w:spacing w:line="360" w:lineRule="auto"/>
        <w:jc w:val="both"/>
        <w:rPr>
          <w:sz w:val="24"/>
          <w:szCs w:val="24"/>
        </w:rPr>
      </w:pPr>
      <w:r w:rsidRPr="00600B3B">
        <w:rPr>
          <w:sz w:val="24"/>
          <w:szCs w:val="24"/>
        </w:rPr>
        <w:t>Le premier mois est consacré à la sélection conjointe de la cohorte, à l’ouverture des comptes et à une formation initiale de deux jours ;</w:t>
      </w:r>
    </w:p>
    <w:p w14:paraId="39EB0796" w14:textId="3174BB58" w:rsidR="00600B3B" w:rsidRPr="00600B3B" w:rsidRDefault="00600B3B" w:rsidP="00600B3B">
      <w:pPr>
        <w:pStyle w:val="Paragraphedeliste"/>
        <w:numPr>
          <w:ilvl w:val="0"/>
          <w:numId w:val="13"/>
        </w:numPr>
        <w:spacing w:line="360" w:lineRule="auto"/>
        <w:jc w:val="both"/>
        <w:rPr>
          <w:sz w:val="24"/>
          <w:szCs w:val="24"/>
        </w:rPr>
      </w:pPr>
      <w:r w:rsidRPr="00600B3B">
        <w:rPr>
          <w:sz w:val="24"/>
          <w:szCs w:val="24"/>
        </w:rPr>
        <w:lastRenderedPageBreak/>
        <w:t>les mois deux à cinq à l’usage quotidien de l’outil, appuyé par un accompagnement mensuel et une assistance technique continue ;</w:t>
      </w:r>
    </w:p>
    <w:p w14:paraId="088EE854" w14:textId="58457387" w:rsidR="00600B3B" w:rsidRPr="00600B3B" w:rsidRDefault="00600B3B" w:rsidP="00600B3B">
      <w:pPr>
        <w:pStyle w:val="Paragraphedeliste"/>
        <w:numPr>
          <w:ilvl w:val="0"/>
          <w:numId w:val="13"/>
        </w:numPr>
        <w:spacing w:line="360" w:lineRule="auto"/>
        <w:jc w:val="both"/>
        <w:rPr>
          <w:sz w:val="24"/>
          <w:szCs w:val="24"/>
        </w:rPr>
      </w:pPr>
      <w:r w:rsidRPr="00600B3B">
        <w:rPr>
          <w:sz w:val="24"/>
          <w:szCs w:val="24"/>
        </w:rPr>
        <w:t>un rapport d’impact intermédiaire est produit au troisième mois,</w:t>
      </w:r>
    </w:p>
    <w:p w14:paraId="6D738207" w14:textId="3FC48858" w:rsidR="00600B3B" w:rsidRPr="00600B3B" w:rsidRDefault="00600B3B" w:rsidP="00600B3B">
      <w:pPr>
        <w:pStyle w:val="Paragraphedeliste"/>
        <w:numPr>
          <w:ilvl w:val="0"/>
          <w:numId w:val="13"/>
        </w:numPr>
        <w:spacing w:line="360" w:lineRule="auto"/>
        <w:jc w:val="both"/>
        <w:rPr>
          <w:sz w:val="24"/>
          <w:szCs w:val="24"/>
        </w:rPr>
      </w:pPr>
      <w:r w:rsidRPr="00600B3B">
        <w:rPr>
          <w:sz w:val="24"/>
          <w:szCs w:val="24"/>
        </w:rPr>
        <w:t>et un rapport final, assorti d’une feuille de route d’extension chiffrée, au sixième.</w:t>
      </w:r>
    </w:p>
    <w:p w14:paraId="03504A7F" w14:textId="77777777" w:rsidR="00600B3B" w:rsidRPr="00600B3B" w:rsidRDefault="00600B3B" w:rsidP="00600B3B">
      <w:pPr>
        <w:spacing w:line="360" w:lineRule="auto"/>
        <w:jc w:val="both"/>
        <w:rPr>
          <w:sz w:val="24"/>
          <w:szCs w:val="24"/>
        </w:rPr>
      </w:pPr>
      <w:r w:rsidRPr="00600B3B">
        <w:rPr>
          <w:sz w:val="24"/>
          <w:szCs w:val="24"/>
        </w:rPr>
        <w:t>Le succès du pilote est mesuré sur des critères chiffrés arrêtés conjointement avant le lancement : un taux d’activation d’au moins 80 %, un usage actif mensuel d’au moins 60 % au sixième mois, au moins 500 factures émises par la cohorte, et une satisfaction moyenne d’au moins 4 sur 5.</w:t>
      </w:r>
    </w:p>
    <w:p w14:paraId="379CE5F9" w14:textId="77777777" w:rsidR="00600B3B" w:rsidRDefault="00600B3B" w:rsidP="00600B3B">
      <w:pPr>
        <w:spacing w:line="360" w:lineRule="auto"/>
        <w:jc w:val="both"/>
        <w:rPr>
          <w:b/>
          <w:bCs/>
          <w:sz w:val="24"/>
          <w:szCs w:val="24"/>
          <w:u w:val="single"/>
        </w:rPr>
      </w:pPr>
    </w:p>
    <w:p w14:paraId="3A4698AB" w14:textId="4B3E7F0D" w:rsidR="00600B3B" w:rsidRPr="00600B3B" w:rsidRDefault="00600B3B" w:rsidP="00600B3B">
      <w:pPr>
        <w:spacing w:line="360" w:lineRule="auto"/>
        <w:jc w:val="both"/>
        <w:rPr>
          <w:b/>
          <w:bCs/>
          <w:sz w:val="24"/>
          <w:szCs w:val="24"/>
          <w:u w:val="single"/>
        </w:rPr>
      </w:pPr>
      <w:r w:rsidRPr="00600B3B">
        <w:rPr>
          <w:b/>
          <w:bCs/>
          <w:sz w:val="24"/>
          <w:szCs w:val="24"/>
          <w:u w:val="single"/>
        </w:rPr>
        <w:t>9. Un plan de mise en œuvre en quatre phases</w:t>
      </w:r>
    </w:p>
    <w:p w14:paraId="415BAA3F" w14:textId="77777777" w:rsidR="00600B3B" w:rsidRPr="00600B3B" w:rsidRDefault="00600B3B" w:rsidP="00600B3B">
      <w:pPr>
        <w:spacing w:line="360" w:lineRule="auto"/>
        <w:jc w:val="both"/>
        <w:rPr>
          <w:sz w:val="24"/>
          <w:szCs w:val="24"/>
        </w:rPr>
      </w:pPr>
      <w:r w:rsidRPr="00600B3B">
        <w:rPr>
          <w:sz w:val="24"/>
          <w:szCs w:val="24"/>
        </w:rPr>
        <w:t>Le déploiement suit quatre phases successives.</w:t>
      </w:r>
    </w:p>
    <w:p w14:paraId="749F005C" w14:textId="77777777" w:rsidR="00600B3B" w:rsidRPr="00600B3B" w:rsidRDefault="00600B3B" w:rsidP="00600B3B">
      <w:pPr>
        <w:spacing w:line="360" w:lineRule="auto"/>
        <w:jc w:val="both"/>
        <w:rPr>
          <w:sz w:val="24"/>
          <w:szCs w:val="24"/>
        </w:rPr>
      </w:pPr>
      <w:r w:rsidRPr="00600B3B">
        <w:rPr>
          <w:sz w:val="24"/>
          <w:szCs w:val="24"/>
        </w:rPr>
        <w:t>La phase de diagnostic (mois 0 à 1) permet d’identifier les besoins avec le ministère et ses agences, de choisir les cohortes et les régions, de définir les modules prioritaires et de signer la convention ainsi que le protocole de gouvernance des données.</w:t>
      </w:r>
    </w:p>
    <w:p w14:paraId="12DDC296" w14:textId="77777777" w:rsidR="00600B3B" w:rsidRPr="00600B3B" w:rsidRDefault="00600B3B" w:rsidP="00600B3B">
      <w:pPr>
        <w:spacing w:line="360" w:lineRule="auto"/>
        <w:jc w:val="both"/>
        <w:rPr>
          <w:sz w:val="24"/>
          <w:szCs w:val="24"/>
        </w:rPr>
      </w:pPr>
      <w:r w:rsidRPr="00600B3B">
        <w:rPr>
          <w:sz w:val="24"/>
          <w:szCs w:val="24"/>
        </w:rPr>
        <w:t>La phase pilote (mois 1 à 7) déploie GAMEASU auprès du groupe test, avec une formation initiale, un accompagnement rapproché et une collecte structurée des retours.</w:t>
      </w:r>
    </w:p>
    <w:p w14:paraId="607E9D07" w14:textId="77777777" w:rsidR="00600B3B" w:rsidRPr="00600B3B" w:rsidRDefault="00600B3B" w:rsidP="00600B3B">
      <w:pPr>
        <w:spacing w:line="360" w:lineRule="auto"/>
        <w:jc w:val="both"/>
        <w:rPr>
          <w:sz w:val="24"/>
          <w:szCs w:val="24"/>
        </w:rPr>
      </w:pPr>
      <w:r w:rsidRPr="00600B3B">
        <w:rPr>
          <w:sz w:val="24"/>
          <w:szCs w:val="24"/>
        </w:rPr>
        <w:t>La phase d’évaluation (mois 7 à 9) analyse l’utilisation et les résultats, identifie les améliorations nécessaires, et prépare la décision de passage à l’échelle.</w:t>
      </w:r>
    </w:p>
    <w:p w14:paraId="745AF9A5" w14:textId="77777777" w:rsidR="00600B3B" w:rsidRPr="00600B3B" w:rsidRDefault="00600B3B" w:rsidP="00600B3B">
      <w:pPr>
        <w:spacing w:line="360" w:lineRule="auto"/>
        <w:jc w:val="both"/>
        <w:rPr>
          <w:sz w:val="24"/>
          <w:szCs w:val="24"/>
        </w:rPr>
      </w:pPr>
      <w:r w:rsidRPr="00600B3B">
        <w:rPr>
          <w:sz w:val="24"/>
          <w:szCs w:val="24"/>
        </w:rPr>
        <w:t>La phase d’extension (à partir du mois 9) élargit le dispositif à de nouvelles cohortes et régions, forme des formateurs internes, met en production le tableau de bord institutionnel et adosse GAMEASU aux dispositifs de financement du ministère, dans une logique d’accompagnement continu et de gouvernance conjointe.</w:t>
      </w:r>
    </w:p>
    <w:p w14:paraId="462502EE" w14:textId="77777777" w:rsidR="00600B3B" w:rsidRDefault="00600B3B" w:rsidP="00600B3B">
      <w:pPr>
        <w:spacing w:line="360" w:lineRule="auto"/>
        <w:jc w:val="both"/>
        <w:rPr>
          <w:b/>
          <w:bCs/>
          <w:sz w:val="24"/>
          <w:szCs w:val="24"/>
          <w:u w:val="single"/>
        </w:rPr>
      </w:pPr>
    </w:p>
    <w:p w14:paraId="6128228E" w14:textId="192F498A" w:rsidR="00600B3B" w:rsidRPr="00600B3B" w:rsidRDefault="00600B3B" w:rsidP="00600B3B">
      <w:pPr>
        <w:spacing w:line="360" w:lineRule="auto"/>
        <w:jc w:val="both"/>
        <w:rPr>
          <w:b/>
          <w:bCs/>
          <w:sz w:val="24"/>
          <w:szCs w:val="24"/>
          <w:u w:val="single"/>
        </w:rPr>
      </w:pPr>
      <w:r w:rsidRPr="00600B3B">
        <w:rPr>
          <w:b/>
          <w:bCs/>
          <w:sz w:val="24"/>
          <w:szCs w:val="24"/>
          <w:u w:val="single"/>
        </w:rPr>
        <w:t>10. Recommandations finales</w:t>
      </w:r>
    </w:p>
    <w:p w14:paraId="5BC285EA" w14:textId="77777777" w:rsidR="00600B3B" w:rsidRPr="00600B3B" w:rsidRDefault="00600B3B" w:rsidP="00600B3B">
      <w:pPr>
        <w:spacing w:line="360" w:lineRule="auto"/>
        <w:jc w:val="both"/>
        <w:rPr>
          <w:sz w:val="24"/>
          <w:szCs w:val="24"/>
        </w:rPr>
      </w:pPr>
      <w:r w:rsidRPr="00600B3B">
        <w:rPr>
          <w:sz w:val="24"/>
          <w:szCs w:val="24"/>
        </w:rPr>
        <w:t>Engager la collaboration par la preuve : proposer d’abord le pilote de six mois, avec des critères de succès chiffrés arrêtés conjointement - c’est l’approche la plus crédible face à un ministère et à des bailleurs exigeants en matière de résultats. Ancrer ensuite le partenariat dans les dispositifs existants, en priorité les cohortes du PAJEC (ADTPME) et du FAIEJ, dont la logique d’accompagnement continu appelle directement cet outillage. Construire la durabilité dès le départ en intégrant la formation de formateurs internes dès la phase d’extension, pour réduire les coûts récurrents et ancrer le dispositif territorialement.</w:t>
      </w:r>
    </w:p>
    <w:p w14:paraId="5098442A" w14:textId="77777777" w:rsidR="00600B3B" w:rsidRPr="00600B3B" w:rsidRDefault="00600B3B" w:rsidP="00600B3B">
      <w:pPr>
        <w:spacing w:line="360" w:lineRule="auto"/>
        <w:jc w:val="both"/>
        <w:rPr>
          <w:sz w:val="24"/>
          <w:szCs w:val="24"/>
        </w:rPr>
      </w:pPr>
      <w:r w:rsidRPr="00600B3B">
        <w:rPr>
          <w:sz w:val="24"/>
          <w:szCs w:val="24"/>
        </w:rPr>
        <w:lastRenderedPageBreak/>
        <w:t>Faire de la donnée un argument central : le tableau de bord institutionnel répond à un besoin stratégique du ministère - pilotage, redevabilité, recensement de l’ESS - et différencie GAMEASU de toute offre logicielle classique. Sécuriser la confiance en traitant la protection des données personnelles comme un pilier du partenariat, condition de l’adhésion aussi bien institutionnelle qu’individuelle.</w:t>
      </w:r>
    </w:p>
    <w:p w14:paraId="05539861" w14:textId="7C7BD725" w:rsidR="00EE7900" w:rsidRPr="00600B3B" w:rsidRDefault="00600B3B" w:rsidP="00600B3B">
      <w:pPr>
        <w:spacing w:line="360" w:lineRule="auto"/>
        <w:jc w:val="both"/>
        <w:rPr>
          <w:sz w:val="24"/>
          <w:szCs w:val="24"/>
        </w:rPr>
      </w:pPr>
      <w:r w:rsidRPr="00600B3B">
        <w:rPr>
          <w:sz w:val="24"/>
          <w:szCs w:val="24"/>
        </w:rPr>
        <w:t>GAMEASU se tient à la disposition du Ministère du Développement à la Base et de l’Économie Sociale et Solidaire pour présenter cette proposition, organiser une démonstration de la plateforme et co-construire les termes d’un premier programme pilote.</w:t>
      </w:r>
    </w:p>
    <w:sectPr w:rsidR="00EE7900" w:rsidRPr="00600B3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4E44E" w14:textId="77777777" w:rsidR="00EE6BEE" w:rsidRDefault="00EE6BEE">
      <w:r>
        <w:separator/>
      </w:r>
    </w:p>
  </w:endnote>
  <w:endnote w:type="continuationSeparator" w:id="0">
    <w:p w14:paraId="2971A664" w14:textId="77777777" w:rsidR="00EE6BEE" w:rsidRDefault="00EE6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8CE2A" w14:textId="77777777" w:rsidR="00EE7900"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326B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3F432" w14:textId="77777777" w:rsidR="00EE6BEE" w:rsidRDefault="00EE6BEE">
      <w:r>
        <w:separator/>
      </w:r>
    </w:p>
  </w:footnote>
  <w:footnote w:type="continuationSeparator" w:id="0">
    <w:p w14:paraId="4174B6D8" w14:textId="77777777" w:rsidR="00EE6BEE" w:rsidRDefault="00EE6B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2881"/>
    <w:multiLevelType w:val="hybridMultilevel"/>
    <w:tmpl w:val="E17E5E40"/>
    <w:lvl w:ilvl="0" w:tplc="292276AE">
      <w:start w:val="1"/>
      <w:numFmt w:val="bullet"/>
      <w:lvlText w:val="●"/>
      <w:lvlJc w:val="left"/>
      <w:pPr>
        <w:ind w:left="720" w:hanging="360"/>
      </w:pPr>
    </w:lvl>
    <w:lvl w:ilvl="1" w:tplc="686C8074">
      <w:start w:val="1"/>
      <w:numFmt w:val="bullet"/>
      <w:lvlText w:val="○"/>
      <w:lvlJc w:val="left"/>
      <w:pPr>
        <w:ind w:left="1440" w:hanging="360"/>
      </w:pPr>
    </w:lvl>
    <w:lvl w:ilvl="2" w:tplc="424A7AFA">
      <w:start w:val="1"/>
      <w:numFmt w:val="bullet"/>
      <w:lvlText w:val="■"/>
      <w:lvlJc w:val="left"/>
      <w:pPr>
        <w:ind w:left="2160" w:hanging="360"/>
      </w:pPr>
    </w:lvl>
    <w:lvl w:ilvl="3" w:tplc="561A9538">
      <w:start w:val="1"/>
      <w:numFmt w:val="bullet"/>
      <w:lvlText w:val="●"/>
      <w:lvlJc w:val="left"/>
      <w:pPr>
        <w:ind w:left="2880" w:hanging="360"/>
      </w:pPr>
    </w:lvl>
    <w:lvl w:ilvl="4" w:tplc="EC703FC6">
      <w:start w:val="1"/>
      <w:numFmt w:val="bullet"/>
      <w:lvlText w:val="○"/>
      <w:lvlJc w:val="left"/>
      <w:pPr>
        <w:ind w:left="3600" w:hanging="360"/>
      </w:pPr>
    </w:lvl>
    <w:lvl w:ilvl="5" w:tplc="E41214B4">
      <w:start w:val="1"/>
      <w:numFmt w:val="bullet"/>
      <w:lvlText w:val="■"/>
      <w:lvlJc w:val="left"/>
      <w:pPr>
        <w:ind w:left="4320" w:hanging="360"/>
      </w:pPr>
    </w:lvl>
    <w:lvl w:ilvl="6" w:tplc="86DAF970">
      <w:start w:val="1"/>
      <w:numFmt w:val="bullet"/>
      <w:lvlText w:val="●"/>
      <w:lvlJc w:val="left"/>
      <w:pPr>
        <w:ind w:left="5040" w:hanging="360"/>
      </w:pPr>
    </w:lvl>
    <w:lvl w:ilvl="7" w:tplc="F6DE4570">
      <w:start w:val="1"/>
      <w:numFmt w:val="bullet"/>
      <w:lvlText w:val="●"/>
      <w:lvlJc w:val="left"/>
      <w:pPr>
        <w:ind w:left="5760" w:hanging="360"/>
      </w:pPr>
    </w:lvl>
    <w:lvl w:ilvl="8" w:tplc="43163242">
      <w:start w:val="1"/>
      <w:numFmt w:val="bullet"/>
      <w:lvlText w:val="●"/>
      <w:lvlJc w:val="left"/>
      <w:pPr>
        <w:ind w:left="6480" w:hanging="360"/>
      </w:pPr>
    </w:lvl>
  </w:abstractNum>
  <w:abstractNum w:abstractNumId="1" w15:restartNumberingAfterBreak="0">
    <w:nsid w:val="13C92FD6"/>
    <w:multiLevelType w:val="hybridMultilevel"/>
    <w:tmpl w:val="E3F244D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5D15224"/>
    <w:multiLevelType w:val="hybridMultilevel"/>
    <w:tmpl w:val="F9D617F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9B460D4"/>
    <w:multiLevelType w:val="hybridMultilevel"/>
    <w:tmpl w:val="5D2025B4"/>
    <w:lvl w:ilvl="0" w:tplc="BCE67998">
      <w:start w:val="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7773E6E"/>
    <w:multiLevelType w:val="hybridMultilevel"/>
    <w:tmpl w:val="E42AA21C"/>
    <w:lvl w:ilvl="0" w:tplc="BCE67998">
      <w:start w:val="2"/>
      <w:numFmt w:val="bullet"/>
      <w:lvlText w:val="-"/>
      <w:lvlJc w:val="left"/>
      <w:pPr>
        <w:ind w:left="720" w:hanging="360"/>
      </w:pPr>
      <w:rPr>
        <w:rFonts w:ascii="Arial" w:eastAsia="Arial" w:hAnsi="Arial" w:cs="Arial" w:hint="default"/>
      </w:rPr>
    </w:lvl>
    <w:lvl w:ilvl="1" w:tplc="82DE2672">
      <w:numFmt w:val="bullet"/>
      <w:lvlText w:val="•"/>
      <w:lvlJc w:val="left"/>
      <w:pPr>
        <w:ind w:left="1790" w:hanging="710"/>
      </w:pPr>
      <w:rPr>
        <w:rFonts w:ascii="Arial" w:eastAsia="Arial"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A4B424F"/>
    <w:multiLevelType w:val="hybridMultilevel"/>
    <w:tmpl w:val="39CCA20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E9B3A2B"/>
    <w:multiLevelType w:val="hybridMultilevel"/>
    <w:tmpl w:val="73A272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ED4334E"/>
    <w:multiLevelType w:val="hybridMultilevel"/>
    <w:tmpl w:val="CB1EFA20"/>
    <w:lvl w:ilvl="0" w:tplc="BCE67998">
      <w:start w:val="2"/>
      <w:numFmt w:val="bullet"/>
      <w:lvlText w:val="-"/>
      <w:lvlJc w:val="left"/>
      <w:pPr>
        <w:ind w:left="720" w:hanging="360"/>
      </w:pPr>
      <w:rPr>
        <w:rFonts w:ascii="Arial" w:eastAsia="Arial"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EE0075F"/>
    <w:multiLevelType w:val="hybridMultilevel"/>
    <w:tmpl w:val="8320C69E"/>
    <w:lvl w:ilvl="0" w:tplc="FFFFFFFF">
      <w:start w:val="2"/>
      <w:numFmt w:val="bullet"/>
      <w:lvlText w:val="-"/>
      <w:lvlJc w:val="left"/>
      <w:pPr>
        <w:ind w:left="720" w:hanging="360"/>
      </w:pPr>
      <w:rPr>
        <w:rFonts w:ascii="Arial" w:eastAsia="Arial" w:hAnsi="Arial" w:cs="Arial" w:hint="default"/>
      </w:rPr>
    </w:lvl>
    <w:lvl w:ilvl="1" w:tplc="BCE67998">
      <w:start w:val="2"/>
      <w:numFmt w:val="bullet"/>
      <w:lvlText w:val="-"/>
      <w:lvlJc w:val="left"/>
      <w:pPr>
        <w:ind w:left="720" w:hanging="360"/>
      </w:pPr>
      <w:rPr>
        <w:rFonts w:ascii="Arial" w:eastAsia="Arial"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BE172DE"/>
    <w:multiLevelType w:val="hybridMultilevel"/>
    <w:tmpl w:val="FD9014B4"/>
    <w:lvl w:ilvl="0" w:tplc="BCE67998">
      <w:start w:val="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F5738D0"/>
    <w:multiLevelType w:val="hybridMultilevel"/>
    <w:tmpl w:val="973AF11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53D71F7"/>
    <w:multiLevelType w:val="hybridMultilevel"/>
    <w:tmpl w:val="820EE042"/>
    <w:lvl w:ilvl="0" w:tplc="7FBE2128">
      <w:numFmt w:val="bullet"/>
      <w:lvlText w:val="-"/>
      <w:lvlJc w:val="left"/>
      <w:pPr>
        <w:ind w:left="1070" w:hanging="71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A5B4BBD"/>
    <w:multiLevelType w:val="hybridMultilevel"/>
    <w:tmpl w:val="B4409532"/>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87515502">
    <w:abstractNumId w:val="0"/>
    <w:lvlOverride w:ilvl="0">
      <w:startOverride w:val="1"/>
    </w:lvlOverride>
  </w:num>
  <w:num w:numId="2" w16cid:durableId="647901689">
    <w:abstractNumId w:val="3"/>
  </w:num>
  <w:num w:numId="3" w16cid:durableId="1719473201">
    <w:abstractNumId w:val="6"/>
  </w:num>
  <w:num w:numId="4" w16cid:durableId="479425640">
    <w:abstractNumId w:val="1"/>
  </w:num>
  <w:num w:numId="5" w16cid:durableId="1458835308">
    <w:abstractNumId w:val="12"/>
  </w:num>
  <w:num w:numId="6" w16cid:durableId="1210142657">
    <w:abstractNumId w:val="5"/>
  </w:num>
  <w:num w:numId="7" w16cid:durableId="265043533">
    <w:abstractNumId w:val="4"/>
  </w:num>
  <w:num w:numId="8" w16cid:durableId="641152138">
    <w:abstractNumId w:val="11"/>
  </w:num>
  <w:num w:numId="9" w16cid:durableId="2124497082">
    <w:abstractNumId w:val="9"/>
  </w:num>
  <w:num w:numId="10" w16cid:durableId="847595416">
    <w:abstractNumId w:val="7"/>
  </w:num>
  <w:num w:numId="11" w16cid:durableId="155925692">
    <w:abstractNumId w:val="8"/>
  </w:num>
  <w:num w:numId="12" w16cid:durableId="1884364936">
    <w:abstractNumId w:val="2"/>
  </w:num>
  <w:num w:numId="13" w16cid:durableId="16330935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900"/>
    <w:rsid w:val="002B09E7"/>
    <w:rsid w:val="0036303D"/>
    <w:rsid w:val="003A30F5"/>
    <w:rsid w:val="003D60C5"/>
    <w:rsid w:val="005B7752"/>
    <w:rsid w:val="00600B3B"/>
    <w:rsid w:val="007B3264"/>
    <w:rsid w:val="00BC60A3"/>
    <w:rsid w:val="00C87F8D"/>
    <w:rsid w:val="00CC48E3"/>
    <w:rsid w:val="00E719CC"/>
    <w:rsid w:val="00EE6BEE"/>
    <w:rsid w:val="00EE7900"/>
    <w:rsid w:val="00F326B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57E61"/>
  <w15:docId w15:val="{335ADD83-4B52-4187-B3F2-58FD380F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3864"/>
      <w:sz w:val="28"/>
      <w:szCs w:val="28"/>
    </w:rPr>
  </w:style>
  <w:style w:type="paragraph" w:styleId="Titre2">
    <w:name w:val="heading 2"/>
    <w:uiPriority w:val="9"/>
    <w:semiHidden/>
    <w:unhideWhenUsed/>
    <w:qFormat/>
    <w:pPr>
      <w:spacing w:before="240" w:after="160"/>
      <w:outlineLvl w:val="1"/>
    </w:pPr>
    <w:rPr>
      <w:b/>
      <w:bCs/>
      <w:color w:val="2E5395"/>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600B3B"/>
    <w:pPr>
      <w:tabs>
        <w:tab w:val="center" w:pos="4536"/>
        <w:tab w:val="right" w:pos="9072"/>
      </w:tabs>
    </w:pPr>
  </w:style>
  <w:style w:type="character" w:customStyle="1" w:styleId="En-tteCar">
    <w:name w:val="En-tête Car"/>
    <w:basedOn w:val="Policepardfaut"/>
    <w:link w:val="En-tte"/>
    <w:uiPriority w:val="99"/>
    <w:rsid w:val="00600B3B"/>
  </w:style>
  <w:style w:type="paragraph" w:styleId="Pieddepage">
    <w:name w:val="footer"/>
    <w:basedOn w:val="Normal"/>
    <w:link w:val="PieddepageCar"/>
    <w:uiPriority w:val="99"/>
    <w:unhideWhenUsed/>
    <w:rsid w:val="00600B3B"/>
    <w:pPr>
      <w:tabs>
        <w:tab w:val="center" w:pos="4536"/>
        <w:tab w:val="right" w:pos="9072"/>
      </w:tabs>
    </w:pPr>
  </w:style>
  <w:style w:type="character" w:customStyle="1" w:styleId="PieddepageCar">
    <w:name w:val="Pied de page Car"/>
    <w:basedOn w:val="Policepardfaut"/>
    <w:link w:val="Pieddepage"/>
    <w:uiPriority w:val="99"/>
    <w:rsid w:val="00600B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9</Pages>
  <Words>2981</Words>
  <Characters>16396</Characters>
  <Application>Microsoft Office Word</Application>
  <DocSecurity>0</DocSecurity>
  <Lines>136</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Passama Pissang</cp:lastModifiedBy>
  <cp:revision>7</cp:revision>
  <dcterms:created xsi:type="dcterms:W3CDTF">2026-07-05T12:27:00Z</dcterms:created>
  <dcterms:modified xsi:type="dcterms:W3CDTF">2026-07-05T15:31:00Z</dcterms:modified>
</cp:coreProperties>
</file>