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Context-Aware Strategy Recommendation in Swiss Chess Tournaments Using Machine Learning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Capstone Proposal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Introduction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Elo rating system [1] provides a calibrated probability for the outcome of a single chess game given two ratings, and remains the foundation of competitive chess. In Swiss-system tournaments [2], however, players accumulate scores over several rounds and are paired adaptively against opponents on similar scores. A player's final standing therefore depends not only on per-game probabilities but on the unfolding tournament context — current standing, average opponent strength so far, rounds remaining, color balance, and the structural pairing dynamics of the field.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Strategic stance is also part of this picture. Experienced players adapt their approach round-by-round: pressing for a win when the tournament situation rewards risk, consolidating with a solid line against a stronger opponent, or accepting a quiet draw when standing already permits it. These choices are routinely made by competitors and coaches, but rarely modeled quantitatively.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capstone proposes a context-aware strategy recommender for Swiss-system chess tournaments. The system maps a player's current situation and a candidate action — aggressive, solid, or passive — to a predicted end-of-tournament performance rating (Rp), and surfaces the action that maximizes that prediction together with the features driving it. The intent is a decision aid for the player, not an autonomous decision-maker.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Literature Review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Existing machine-learning work on chess has focused largely on per-game outcome classification from rating and metadata features [3]. These approaches treat each game as an independent prediction problem and do not condition on tournament-level state such as current standing, color balance, or remaining rounds.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Elo system [1] itself provides a strong rating-based baseline, but is built on the single-game expectation assumption and does not exploit accumulating within-tournament information. The Swiss pairing mechanism [2] further introduces adaptive opponent selection that breaks game-level independence, but Elo does not model this either.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XGBoost [4] is the established gradient-boosted tree method for tabular regression with mixed feature types — static identity, tournament context, and prior-round state — and is a natural fit for the present setting. Tree boosting is also well-suited to the SHAP attribution framework used below, which is required to expose the recommender's reasoning rather than its output alone.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Work on human–AI joint decision making [5] indicates that interpretable output — recommendations paired with the reasons behind them — outperforms opaque predictions when the end user retains decision authority. This shapes how the recommender is exposed: as a per-round suggestion with SHAP-derived drivers, scored against the player's own judgment.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Problem Statement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research question is whether the round-by-round strategic stance a player adopts — aggressive, solid, or passive — carries learnable signal for tournament-level outcomes once rating information is controlled for.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437435573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Concretely: given a player's identity, the tournament context, the state of play through round r − 1, and the current pairing for round r, can a model predict the player's final FIDE performance rating Rp more accurately than (a) a rating-bracket-mean baseline and (b) an Elo-formula baseline, and does the candidate action label contribute independent signal under controlled feature attribution?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framing has two parts. First, prediction: does context beyond rating reduce error in Rp prediction. Second, recommendation: can the trained model be inverted into a per-round action recommender by re-scoring the situation under each candidate action and returning the one with the highest predicted Rp.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Methods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Data. 150 FIDE-rated Swiss tournaments are scraped from chess-results.com, yielding 9,098 players and 35,728 games. Tournaments cluster in December 2025; the largest federations represented are India, Germany, Argentina, Turkey, Spain, and the United Kingdom. Field sizes range from 30 to 150 players (mean 68.4) and rounds per tournament from 6 to 11. A single pipeline was built to discover candidate events, download pairings and crosstables, parse them to SQLite, validate, engineer features, assign action labels, and train.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1773577928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Target and features. Each player's final performance rating Rp is computed with the FIDE formula Rp = avg_opp_rating + dp(score%), where dp() is the official rating-difference lookup. One row is constructed per (player, round) with 25 features: static identity (starting_rating, title_encoded, seed_percentile), tournament context (tournament_avg_rating, tournament_rating_std, n_rounds_total, field_size, rating_gap_to_field_avg), prior-round state computed only over rounds 1..r−1 to avoid leakage (current_score, expected_score_so_far, score_delta = actual − expected, avg_opponent_rating_so_far, color_balance, current_rank, gap_to_leader), current pairing (opponent_rating, rating_diff, expected_score_this_game, playing_white, opponent_current_score), and three action one-hots.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519670685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Action labels. Each completed game receives one of three labels by a deterministic rule on rating_diff (player − opponent, threshold T = 100 Elo) crossed with the result: an upset win as the underdog is aggressive, a draw against a stronger opponent is solid, a draw or loss against a weaker opponent is passive; priority on overlap is passive &gt; solid &gt; aggressive. After dropping rows with missing rating_diff (unrated opponents or byes), the labeled dataset contains 66,594 rows across 147 tournaments, with class distribution solid 63.9%, aggressive 22.3%, passive 13.9%.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512275430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Models and split. Two baselines are compared against one tree-boosted regressor on the same target. Baseline 0 predicts the mean training Rp within the player's rating bracket (&lt;1500, 1500–1800, 1800–2100, ≥2100). Baseline 1 predicts each player's Rp from the FIDE formula applied to their realized expected score across the tournament. The main model is XGBoost [4] trained on all 25 features with squared-error loss and tree_method = "hist", tuned via RandomizedSearchCV (n_iter = 40, scoring = −MAE) over depth, learning rate, regularization, and sampling rates. Cross-validation uses GroupKFold(5) with tournament_id as the grouping variable to prevent same-tournament leakage. Tournaments are partitioned 80/20 by tournament_id (random_state = 42), giving 118 training tournaments (53,946 rows) and 29 held-out test tournaments (12,648 rows).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Recommender. For inference, </w:t>
      </w:r>
      <w:r w:rsidDel="00000000" w:rsidR="00000000" w:rsidRPr="00000000">
        <w:rPr>
          <w:rFonts w:ascii="Arimo" w:cs="Arimo" w:eastAsia="Arimo" w:hAnsi="Arimo"/>
          <w:rtl w:val="0"/>
        </w:rPr>
        <w:t xml:space="preserve">four</w:t>
      </w:r>
      <w:sdt>
        <w:sdtPr>
          <w:id w:val="2109719524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 feature rows are constructed for the current situation — one per candidate action — scored with the trained model, and the action with the highest predicted Rp is returned. Confidence is reported as "strong" if the margin to the second-best action is ≥ 15 Elo points and "marginal" otherwise; a SHAP TreeExplainer surfaces the three largest drivers of the recommended prediction.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Evidence of effectiveness. The methodology has been implemented and produces results consistent with the framing above. On the 29 held-out test tournaments (12,648 rows), Baseline 0 reached MAE = 168.1 Elo points and Baseline 1 reached MAE = 144.7. The XGBoost model reached MAE = 94.3 — a 50.</w:t>
      </w:r>
      <w:r w:rsidDel="00000000" w:rsidR="00000000" w:rsidRPr="00000000">
        <w:rPr>
          <w:rFonts w:ascii="Arimo" w:cs="Arimo" w:eastAsia="Arimo" w:hAnsi="Arimo"/>
          <w:rtl w:val="0"/>
        </w:rPr>
        <w:t xml:space="preserve">4</w:t>
      </w:r>
      <w:sdt>
        <w:sdtPr>
          <w:id w:val="1403037263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-point improvement over the stronger baseline, equivalent to a 35% error reduction. The best cross-validated MAE during hyperparameter search was 88.5; the 5.8-point CV-to-test gap suggests limited overfitting. The selected configuration was 136 trees of max depth 6, learning_rate 0.0458, subsample 0.7115, colsample_bytree 0.8119, min_child_weight 5, gamma 0.1209, reg_alpha 0.8826, reg_lambda 0.8774. Gain-based importances are dominated by title_encoded (0.3837) and player_rating (0.3420), together ≈73% of total gain; the leading dynamic predictor is score_delta (0.0465), followed by avg_opponent_rating_so_far (0.0273), rating_gap_to_field_avg (0.0238), and tournament_avg_rating (0.0195). The three action one-hots carry small but non-trivial gain: action_passive (0.0146) &gt; action_aggressive (0.0116) &gt; opponent_rating (0.0115) &gt; action_solid (0.0113). SHAP analysis confirms direction: passive play contributes a consistently downward push to predicted Rp when active, aggressive play contributes an upward push, and score_delta interacts strongly with current_score — players running ahead of Elo expectation receive a larger positive Rp adjustment. These results support both the prediction claim (context reduces Rp error beyond rating) and the recommendation claim (action labels carry independent signal exploitable at inference).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References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[1] A. E. Elo, The Rating of Chess Players, Past and Present. New York, NY, USA: Arco Publishing, 1978.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[2] C. Hua, "The Swiss tournament model," Undergraduate thesis, Wharton School, Univ. Pennsylvania, Philadelphia, PA, USA, 2017.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[3] K. Samara, A. Antreassian, M. Klug, and M. S. Hasan, "Machine learning approaches for classifying chess game outcomes: A comparative analysis of player ratings and game dynamics," Electronics, vol. 15, no. 1, p. 1, 2025, doi: 10.3390/electronics15010001.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[4] T. Chen and C. Guestrin, "XGBoost: A scalable tree boosting system," in Proc. 22nd ACM SIGKDD Int. Conf. Knowl. Discov. Data Min., San Francisco, CA, USA, 2016, pp. 785–794, doi: 10.1145/2939672.2939785.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[5] K. Inkpen et al., "Advancing human–AI complementarity: The impact of user expertise and algorithmic tuning on joint decision making," ACM Trans. Comput.-Hum. Interact., vol. 30, no. 5, Art. no. 71, 2023, doi: 10.1145/3534561.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8sLtbbsW8T45f5LRagifo1TqLA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4AHIhMWpVWFBqOTNVWWs5ekZCa01Ra29iUmxaRVhsVW1iQkV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