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ardo-bold.ttf" ContentType="application/x-font-ttf"/>
  <Override PartName="/word/fonts/Cardo-italic.ttf" ContentType="application/x-font-ttf"/>
  <Override PartName="/word/fonts/Card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Verification log — Strategy Recommender Paper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6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Every numeric and factual claim in the draft, with the file and line/section it was pulled from. Sources cite the project repository (rooted at the connected workspace folder) unless otherwise noted. Use this list to spot-check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Dataset and pipeline</w:t>
      </w:r>
      <w:r w:rsidDel="00000000" w:rsidR="00000000" w:rsidRPr="00000000">
        <w:rPr>
          <w:rtl w:val="0"/>
        </w:rPr>
      </w:r>
    </w:p>
    <w:tbl>
      <w:tblPr>
        <w:tblStyle w:val="Table1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4648"/>
        <w:tblGridChange w:id="0">
          <w:tblGrid>
            <w:gridCol w:w="3000"/>
            <w:gridCol w:w="2000"/>
            <w:gridCol w:w="464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Claim in paper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Source file &amp;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Tournaments scraped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/>
            </w:pPr>
            <w:sdt>
              <w:sdtPr>
                <w:id w:val="-943810753"/>
                <w:tag w:val="goog_rdk_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0"/>
                    <w:szCs w:val="20"/>
                    <w:rtl w:val="0"/>
                  </w:rPr>
                  <w:t xml:space="preserve">data/interim/validation_report.txt, header line 6; final_report.ipynb cell-3 output ("parse → chess.db: 150 tournaments")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Players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9,098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data/interim/validation_report.txt, line 7; final_report.ipynb cell-3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35,728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data/interim/validation_report.txt, line 8; final_report.ipynb cell-3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Player-round observations after labeling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66,594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data/processed/features_labeled.csv (rows); final_report.ipynb cell-3 ("66594 labeled rows")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Tournaments surviving labeling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Computed from features_labeled.csv unique tournament_id; explained by label.py dropping rows with NaN rating_diff (lines 144–149)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Field-size range and mean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30–150 players, mean 68.4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Computed from chess.db tournaments table (n_players column)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Rounds per tournament 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6–11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Computed from chess.db tournaments.n_rounds column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Sampling 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December 2024 – December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chess.db tournaments.start_date, calendar min 07.12.2024 max 31.12.2025 (72 tournaments in 2024, 78 in 2025); string MIN was reported as 06.12.2025 due to lexicographic DD.MM.YYYY ordering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Top federations by player 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IND, GER, ARG, TUR, ESP, GBR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Computed from chess.db players_in_tournament.federation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Action class distribution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solid 63.9%, aggressive 22.3%, passive 13.9%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Computed from features_labeled.csv action column counts; consistent with label.py heuristic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Modeling setup</w:t>
      </w:r>
      <w:r w:rsidDel="00000000" w:rsidR="00000000" w:rsidRPr="00000000">
        <w:rPr>
          <w:rtl w:val="0"/>
        </w:rPr>
      </w:r>
    </w:p>
    <w:tbl>
      <w:tblPr>
        <w:tblStyle w:val="Table2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4648"/>
        <w:tblGridChange w:id="0">
          <w:tblGrid>
            <w:gridCol w:w="3000"/>
            <w:gridCol w:w="2000"/>
            <w:gridCol w:w="464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Claim in paper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Source file &amp;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 of features per row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src/train.py FEATURE_COLS list (lines 69–81); src/recommend.py FEATURE_COLS (lines 30–42)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Performance-rating formula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Rp = avg_opp_rating + dp(score%)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src/build_features.py compute_performance_ratings (lines 111–152), _FIDE_DP table (lines 43–64)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Action labelling threshold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 Elo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src/label.py THRESHOLD (line 41); priority comment lines 19–20 (passive &gt; solid &gt; aggressive)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No-leakage construction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sdt>
              <w:sdtPr>
                <w:id w:val="1275985589"/>
                <w:tag w:val="goog_rdk_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Round-state features computed only over rounds 1..r−1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src/build_features.py inner loop (lines 261–280, "prior" filter) and module docstring (lines 12–17)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Train/test split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80/20 by tournament_id, random_state = 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src/train.py load_and_split (lines 96–117)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Train tournaments / rows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118 tournaments, 53,946 rows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lines 6,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 tournaments / rows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 tournaments, 12,648 rows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lines 7,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Cross-validation strategy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GroupKFold(5) on tournament_id, RandomizedSearchCV n_iter = 40, scoring = neg-MAE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src/train.py train_xgboost (lines 164–225)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Model performance</w:t>
      </w:r>
      <w:r w:rsidDel="00000000" w:rsidR="00000000" w:rsidRPr="00000000">
        <w:rPr>
          <w:rtl w:val="0"/>
        </w:rPr>
      </w:r>
    </w:p>
    <w:tbl>
      <w:tblPr>
        <w:tblStyle w:val="Table3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4648"/>
        <w:tblGridChange w:id="0">
          <w:tblGrid>
            <w:gridCol w:w="3000"/>
            <w:gridCol w:w="2000"/>
            <w:gridCol w:w="464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Claim in paper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Source file &amp;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Baseline 0 MAE (rating-bracket mean Rp)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Baseline 1 MAE (Elo expected score)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144.7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XGBoost test MAE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XGBoost best CV MAE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15 ("best CV MAE 88.5")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Improvement vs Baseline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+73.8 Elo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Improvement vs Baseline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+50.</w:t>
            </w: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Elo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Reduction vs Baseline 1 (35%)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sdt>
              <w:sdtPr>
                <w:id w:val="-1530079930"/>
                <w:tag w:val="goog_rdk_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(144.7 − 94.3) / 144.7 = 0.348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Computed from training_report.txt MAEs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CV-to-test gap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5.8 Elo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sdt>
              <w:sdtPr>
                <w:id w:val="838330540"/>
                <w:tag w:val="goog_rdk_3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Computed from training_report.txt (94.3 − 88.5)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Selected hyperparameters</w:t>
      </w:r>
      <w:r w:rsidDel="00000000" w:rsidR="00000000" w:rsidRPr="00000000">
        <w:rPr>
          <w:rtl w:val="0"/>
        </w:rPr>
      </w:r>
    </w:p>
    <w:tbl>
      <w:tblPr>
        <w:tblStyle w:val="Table4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4648"/>
        <w:tblGridChange w:id="0">
          <w:tblGrid>
            <w:gridCol w:w="3000"/>
            <w:gridCol w:w="2000"/>
            <w:gridCol w:w="464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Claim in paper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Source file &amp;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n_estimators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max_depth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31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learning_rate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0.0458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subsample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35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colsample_bytree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0.8119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min_child_weight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gamma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0.1209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reg_alpha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0.8826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reg_lambda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0.8774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34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Feature importance (gain)</w:t>
      </w:r>
      <w:r w:rsidDel="00000000" w:rsidR="00000000" w:rsidRPr="00000000">
        <w:rPr>
          <w:rtl w:val="0"/>
        </w:rPr>
      </w:r>
    </w:p>
    <w:tbl>
      <w:tblPr>
        <w:tblStyle w:val="Table5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4648"/>
        <w:tblGridChange w:id="0">
          <w:tblGrid>
            <w:gridCol w:w="3000"/>
            <w:gridCol w:w="2000"/>
            <w:gridCol w:w="464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Claim in paper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Source file &amp;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title_encoded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0.3837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39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player_rating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0.3420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Sum of top-2 identity features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="240" w:lineRule="auto"/>
              <w:rPr/>
            </w:pPr>
            <w:sdt>
              <w:sdtPr>
                <w:id w:val="630077806"/>
                <w:tag w:val="goog_rdk_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≈73% of total gain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Computed: (0.3837 + 0.3420) / sum of all importances; training_report.txt lines 39–53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score_delta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0.0465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avg_opponent_rating_so_far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0.0273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rating_gap_to_field_avg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0.0238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tournament_avg_rating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0.0195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action_passive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0.0146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action_aggressive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0.0116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opponent_rating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action_solid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0.0113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SHAP / direction claims</w:t>
      </w:r>
      <w:r w:rsidDel="00000000" w:rsidR="00000000" w:rsidRPr="00000000">
        <w:rPr>
          <w:rtl w:val="0"/>
        </w:rPr>
      </w:r>
    </w:p>
    <w:tbl>
      <w:tblPr>
        <w:tblStyle w:val="Table6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4648"/>
        <w:tblGridChange w:id="0">
          <w:tblGrid>
            <w:gridCol w:w="3000"/>
            <w:gridCol w:w="2000"/>
            <w:gridCol w:w="464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Claim in paper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Source file &amp;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0" w:line="240" w:lineRule="auto"/>
              <w:rPr/>
            </w:pPr>
            <w:sdt>
              <w:sdtPr>
                <w:id w:val="-2113013726"/>
                <w:tag w:val="goog_rdk_5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0"/>
                    <w:szCs w:val="20"/>
                    <w:rtl w:val="0"/>
                  </w:rPr>
                  <w:t xml:space="preserve">Direction: passive ↓ Rp, aggressive ↑ Rp after controlling for strength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Qualitative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notebooks/shap_summary.png (Figure 3 in paper) — supported also by the per-action gain ranking (action_passive &gt; aggressive &gt; solid in training_report.txt) and recommender scenarios in final_report.ipynb cell-12 (e.g., S4: action_aggressive shap +45.0)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score_delta is leading dynamic predictor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0.0465 gain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models/training_report.txt, line 41 (top dynamic feature after the two identity features)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Recommender scenarios</w:t>
      </w:r>
      <w:r w:rsidDel="00000000" w:rsidR="00000000" w:rsidRPr="00000000">
        <w:rPr>
          <w:rtl w:val="0"/>
        </w:rPr>
      </w:r>
    </w:p>
    <w:tbl>
      <w:tblPr>
        <w:tblStyle w:val="Table7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4648"/>
        <w:tblGridChange w:id="0">
          <w:tblGrid>
            <w:gridCol w:w="3000"/>
            <w:gridCol w:w="2000"/>
            <w:gridCol w:w="464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Claim in paper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Source file &amp;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S4 1600/1900 round 3/9 +2 streak: recommendation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AGGRESSIVE, strong confidence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sdt>
              <w:sdtPr>
                <w:id w:val="-568299392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notebooks/final_report.ipynb cell-12 output ("S4 — 1600 perfect 2/2 ... AGGRESSIVE (1828) ✓")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S4 predicted Rp by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aggressive 1828, solid 1714, passive 1736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notebooks/final_report.ipynb cell-12 output ("--- S4 ... Aggressive=1828  Solid=1714  Passive=1736")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S3 must-win 2200/2000 final round: recommendation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SOLID, strong confidence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notebooks/final_report.ipynb cell-12 output ("S3 — Must-win ... SOLID (2032)")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S3 dominant SHAP driver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sdt>
              <w:sdtPr>
                <w:id w:val="-1900418946"/>
                <w:tag w:val="goog_rdk_7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0"/>
                    <w:szCs w:val="20"/>
                    <w:rtl w:val="0"/>
                  </w:rPr>
                  <w:t xml:space="preserve">score_delta = −1.56 (shap −161.8)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notebooks/final_report.ipynb cell-12 output ("Recommended SOLID — top 3 drivers: ... score_delta -1.56 (shap -161.8)")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Confidence threshold (strong/marginal)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0" w:line="240" w:lineRule="auto"/>
              <w:rPr/>
            </w:pPr>
            <w:sdt>
              <w:sdtPr>
                <w:id w:val="-1439601244"/>
                <w:tag w:val="goog_rdk_8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0"/>
                    <w:szCs w:val="20"/>
                    <w:rtl w:val="0"/>
                  </w:rPr>
                  <w:t xml:space="preserve">Δ ≥ 15 Elo points to second-best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src/recommend.py recommend (lines 196–198)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References</w:t>
      </w:r>
      <w:r w:rsidDel="00000000" w:rsidR="00000000" w:rsidRPr="00000000">
        <w:rPr>
          <w:rtl w:val="0"/>
        </w:rPr>
      </w:r>
    </w:p>
    <w:tbl>
      <w:tblPr>
        <w:tblStyle w:val="Table8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00"/>
        <w:gridCol w:w="6148"/>
        <w:tblGridChange w:id="0">
          <w:tblGrid>
            <w:gridCol w:w="3500"/>
            <w:gridCol w:w="614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Reference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e8e8e8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Source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Elo (1978) — Elo rating system foundation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References/1978-elo-theratingofchessplayerspastandpresent.pdf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Hua (2017) — Swiss tournament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References/The Swiss Tournament Model.pdf, Wharton Research Scholars undergraduate thesis (cover page)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Chen &amp; Guestrin (2016) — XGBoost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References/XGBoost A Scalable Tree Boosting System.pdf, KDD '16 (page 1, header lists authors)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Inkpen et al. (2023) — human–AI complementarity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References/Advancing Human-AI Complementarity.pdf, ACM TOCHI vol. 30 issue 5 article 71, DOI 10.1145/3534561 (page 1 footer)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Samara et al. (2025) — chess-outcome 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0" w:line="2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References/Machine Learning Approaches for Classifying Chess Game Outcomes.pdf, Electronics 15(1):1, DOI 10.3390/electronics15010001 (page 1 metadata)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0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296" w:top="1296" w:left="1296" w:right="129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  <w:font w:name="Arial Unicode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QgHYE9dQrd+Hjnkit9KtD3106w==">CgMxLjAaEgoBMBINCgsIB0IHEgVDYXJkbxoUCgExEg8KDQgHQgkSB0d1bmdzdWgaFAoBMhIPCg0IB0IJEgdHdW5nc3VoGhQKATMSDwoNCAdCCRIHR3VuZ3N1aBoUCgE0Eg8KDQgHQgkSB0d1bmdzdWgaEgoBNRINCgsIB0IHEgVDYXJkbxodCgE2EhgKFggHQhISEEFyaWFsIFVuaWNvZGUgTVMaFAoBNxIPCg0IB0IJEgdHdW5nc3VoGhIKATgSDQoLCAdCBxIFQ2FyZG84AHIhMVozR1dQbElYNk5TZ1N1N3kwV28wUzRFdGdKaExTRS02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