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sz w:val="32"/>
          <w:szCs w:val="32"/>
        </w:rPr>
        <w:t xml:space="preserve">Context-Aware Strategy Recommendation in Swiss Chess Tournaments Using Machine Learning</w:t>
      </w:r>
    </w:p>
    <w:p>
      <w:pPr>
        <w:pStyle w:val="Heading1"/>
      </w:pPr>
      <w:r>
        <w:t xml:space="preserve">Abstract</w:t>
      </w:r>
    </w:p>
    <w:p>
      <w:pPr>
        <w:spacing w:after="120" w:line="300"/>
        <w:jc w:val="both"/>
      </w:pPr>
      <w:r>
        <w:t xml:space="preserve">Outcomes in Swiss-system chess tournaments depend not only on per-game probabilities but on accumulating context — current standing, opponent strength so far, rounds remaining, and color allocation. The Elo rating system models single-game expectation but ignores this structure, and the strategic dimension of round-level play (whether to play aggressively, solidly, or passively) is rarely modeled at all. We address both gaps with a context-aware recommender. Using 66,594 player-round observations from 147 Swiss tournaments scraped from chess-results.com, we train an XGBoost regressor that predicts a player's final FIDE performance rating (Rp) conditioned on situational features and a candidate strategic action. On 29 held-out tournaments the model attains a mean absolute error of 94.3 Elo points, beating a rating-bracket-mean baseline by 73.8 points and an Elo expected-score baseline by 50.4 points — a 35% reduction against the stronger baseline; the cross-validated MAE of 88.5 indicates limited overfitting. SHAP analysis identifies score deviation from Elo expectation as the leading dynamic predictor; the action one-hots carry small but non-zero gain (0.0113–0.0146), with passive play associated with lower predicted Rp and aggressive play with higher Rp after controlling for player and opponent strength. The trained model is exposed as a per-round recommender that scores all three actions and surfaces the SHAP drivers behind its choice. The situation × action → predicted-outcome scaffold is a generic recommender pattern that could transfer to other sequential-decision domains, though task-specific labels and validation would be required.</w:t>
      </w:r>
    </w:p>
    <w:p>
      <w:pPr>
        <w:spacing w:after="120" w:line="300"/>
        <w:jc w:val="both"/>
      </w:pPr>
      <w:r>
        <w:rPr>
          <w:b/>
          <w:bCs/>
        </w:rPr>
        <w:t xml:space="preserve">Keywords: </w:t>
      </w:r>
      <w:r>
        <w:t xml:space="preserve">chess; Swiss tournaments; performance rating; XGBoost; SHAP; recommender systems; decision support</w:t>
      </w:r>
    </w:p>
    <w:p>
      <w:pPr>
        <w:pStyle w:val="Heading1"/>
      </w:pPr>
      <w:r>
        <w:t xml:space="preserve">1. Introduction</w:t>
      </w:r>
    </w:p>
    <w:p>
      <w:pPr>
        <w:spacing w:after="120" w:line="300"/>
        <w:jc w:val="both"/>
      </w:pPr>
      <w:r>
        <w:t xml:space="preserve">The Elo rating system (Elo, 1978) provides a calibrated probability for the outcome of a single chess game given two ratings, and remains the foundation of competitive chess. In Swiss-system tournaments (Hua, 2017), however, players accumulate scores over several rounds and are paired adaptively against opponents on similar scores. A player's final standing therefore depends not only on per-game probabilities but on the unfolding tournament context — current standing, average opponent strength so far, rounds remaining, color balance, and the structural pairing dynamics of the field.</w:t>
      </w:r>
    </w:p>
    <w:p>
      <w:pPr>
        <w:spacing w:after="120" w:line="300"/>
        <w:jc w:val="both"/>
      </w:pPr>
      <w:r>
        <w:t xml:space="preserve">Recent machine-learning work on chess has focused mainly on per-game outcome classification from rating and metadata features (Samara et al., 2025). Tournament-level decision-making — when to take risks, when to consolidate, when to simplify toward a draw — is well understood by coaches but has received little quantitative treatment.</w:t>
      </w:r>
    </w:p>
    <w:p>
      <w:pPr>
        <w:spacing w:after="120" w:line="300"/>
        <w:jc w:val="both"/>
      </w:pPr>
      <w:r>
        <w:t xml:space="preserve">We ask whether the round-by-round strategic stance a player adopts (aggressive, solid, or passive) carries learnable signal for tournament-level outcomes once rating information is controlled for. We frame the problem as regression on a player's final performance rating (Rp) given (situation, candidate action), train an XGBoost model on data from 150 FIDE-rated Swiss tournaments scraped from chess-results.com (147 surviving the labeling step), and expose it as a per-round strategy recommender. The system is intended as a decision aid, consistent with evidence that human–AI teams perform best when models complement rather than substitute for expertise (Inkpen et al., 2023).</w:t>
      </w:r>
    </w:p>
    <w:p>
      <w:pPr>
        <w:pStyle w:val="Heading1"/>
      </w:pPr>
      <w:r>
        <w:t xml:space="preserve">2. Methods</w:t>
      </w:r>
    </w:p>
    <w:p>
      <w:pPr>
        <w:spacing w:after="120" w:line="300"/>
        <w:jc w:val="both"/>
      </w:pPr>
      <w:r>
        <w:rPr>
          <w:b/>
          <w:bCs/>
        </w:rPr>
        <w:t xml:space="preserve">Data. </w:t>
      </w:r>
      <w:r>
        <w:t xml:space="preserve">We scraped 150 FIDE-rated Swiss tournaments from chess-results.com, yielding 9,098 players and 35,728 games (validation_report.txt). Tournaments span December 2024 to December 2025, with 72 events in 2024 and 78 in 2025; the largest federations represented are India, Germany, Argentina, Turkey, Spain, and the United Kingdom. Field sizes range from 30 to 150 players (mean 68.4) and rounds per tournament from 6 to 11. Candidate events are identified by a separate discovery script (scrape_discovery.py); run_pipeline.sh then downloads pairings and crosstables, parses them to SQLite, validates, engineers features, assigns action labels, and trains.</w:t>
      </w:r>
    </w:p>
    <w:p>
      <w:pPr>
        <w:pStyle w:val="Heading1"/>
      </w:pPr>
      <w:r>
        <w:t xml:space="preserve">3. Results</w:t>
      </w:r>
    </w:p>
    <w:p>
      <w:pPr>
        <w:spacing w:after="120" w:line="300"/>
        <w:jc w:val="both"/>
      </w:pPr>
      <w:r>
        <w:rPr>
          <w:b/>
          <w:bCs/>
        </w:rPr>
        <w:t xml:space="preserve">Predictive accuracy. </w:t>
      </w:r>
      <w:r>
        <w:t xml:space="preserve">On the 29 held-out test tournaments (12,648 rows), the bracket-mean baseline reached MAE = 168.1 Elo points and the Elo-formula baseline reached MAE = 144.7 (training_report.txt). XGBoost reached MAE = 94.3 — a 73.8-point improvement over Baseline 0 and a 50.4-point improvement over Baseline 1, equivalent to a 35% reduction against the stronger baseline (Figure 1, mae_comparison.png). The best cross-validated MAE during hyperparameter search was 88.5; the small CV-to-test gap (5.8 points) suggests limited overfitting given 118 training tournaments, in contrast to earlier 10-tournament runs that produced markedly larger gaps (final_report.ipynb). The selected configuration was 136 trees of max depth 6, learning_rate 0.0458, subsample 0.7115, colsample_bytree 0.8119, min_child_weight 5, gamma 0.1209, reg_alpha 0.8826, reg_lambda 0.8774.</w:t>
      </w:r>
    </w:p>
    <w:p>
      <w:pPr>
        <w:spacing w:after="120" w:line="300"/>
        <w:jc w:val="both"/>
      </w:pPr>
      <w:r>
        <w:t xml:space="preserve">SHAP analysis (Figure 3, shap_summary.png) confirms direction: after controlling for player and opponent strength, action_passive contributes a consistently downward push to predicted Rp when active, action_aggressive contributes an upward push, and score_delta interacts strongly with current_score — players running ahead of Elo expectation receive a larger positive Rp adjustment.</w:t>
      </w:r>
    </w:p>
    <w:p>
      <w:pPr>
        <w:pStyle w:val="Heading1"/>
      </w:pPr>
      <w:r>
        <w:t xml:space="preserve">4. Discussion</w:t>
      </w:r>
    </w:p>
    <w:p>
      <w:pPr>
        <w:spacing w:after="120" w:line="300"/>
        <w:jc w:val="both"/>
      </w:pPr>
      <w:r>
        <w:t xml:space="preserve">The model adds genuine predictive value beyond rating-only baselines. A 50.4-point MAE reduction against the FIDE Elo baseline indicates that tournament context — not just rating identity — carries learnable signal for end-of-event Rp.</w:t>
      </w:r>
    </w:p>
    <w:p>
      <w:pPr>
        <w:spacing w:after="120" w:line="300"/>
        <w:jc w:val="both"/>
      </w:pPr>
      <w:r>
        <w:t xml:space="preserve">Several limitations should be made explicit. (1) Action labels are heuristic, derived from result-vs-Elo-expectation patterns rather than move-level chess analysis; a fortunate win in a drawn position can be labeled aggressive when no strategic risk was actually taken. (2) The dataset is restricted to Swiss-system events; round-robin and match play have different scoring incentives and pairing dynamics and would require separate validation. (3) chess-results.com publishes only results and ratings — no game scores — so move-quality signals (engine evaluation, blunder rate, opening choice, time pressure) are absent and likely informative. (4) Performance rating is one summary statistic; some tournament objectives (title norms, prize-stratified standings) diverge from maximizing round-by-round Rp. (5) Sample timing spans December 2024 to December 2025 (72 and 78 events respectively) and is therefore vulnerable to temporal drift.</w:t>
      </w:r>
    </w:p>
    <w:p>
      <w:pPr>
        <w:pStyle w:val="Heading1"/>
      </w:pPr>
      <w:r>
        <w:t xml:space="preserve">References</w:t>
      </w:r>
    </w:p>
    <w:p>
      <w:pPr>
        <w:spacing w:after="160" w:line="300"/>
        <w:ind w:left="720" w:hanging="720"/>
        <w:jc w:val="left"/>
      </w:pPr>
      <w:r>
        <w:t xml:space="preserve">Chen, T., &amp; Guestrin, C. (2016). XGBoost: A scalable tree boosting system. In Proceedings of the 22nd ACM SIGKDD International Conference on Knowledge Discovery and Data Mining (pp. 785–794). Association for Computing Machinery. https://doi.org/10.1145/2939672.2939785</w:t>
      </w:r>
    </w:p>
    <w:p>
      <w:pPr>
        <w:spacing w:after="160" w:line="300"/>
        <w:ind w:left="720" w:hanging="720"/>
        <w:jc w:val="left"/>
      </w:pPr>
      <w:r>
        <w:t xml:space="preserve">Elo, A. E. (1978). The rating of chess players, past and present. Arco Publishing.</w:t>
      </w:r>
    </w:p>
    <w:p>
      <w:pPr>
        <w:spacing w:after="160" w:line="300"/>
        <w:ind w:left="720" w:hanging="720"/>
        <w:jc w:val="left"/>
      </w:pPr>
      <w:r>
        <w:t xml:space="preserve">Hua, C. (2017). The Swiss tournament model [Undergraduate thesis, The Wharton School, University of Pennsylvania]. Wharton Research Scholars.</w:t>
      </w:r>
    </w:p>
    <w:p>
      <w:pPr>
        <w:spacing w:after="160" w:line="300"/>
        <w:ind w:left="720" w:hanging="720"/>
        <w:jc w:val="left"/>
      </w:pPr>
      <w:r>
        <w:t xml:space="preserve">Inkpen, K., Chappidi, S., Mallari, K., Nushi, B., Ramesh, D., Michelucci, P., Mandava, V., Vepřek, L. H., &amp; Quinn, G. (2023). Advancing human–AI complementarity: The impact of user expertise and algorithmic tuning on joint decision making. ACM Transactions on Computer-Human Interaction, 30(5), Article 71. https://doi.org/10.1145/3534561</w:t>
      </w:r>
    </w:p>
    <w:p>
      <w:pPr>
        <w:spacing w:after="160" w:line="300"/>
        <w:ind w:left="720" w:hanging="720"/>
        <w:jc w:val="left"/>
      </w:pPr>
      <w:r>
        <w:t xml:space="preserve">Samara, K., Antreassian, A., Klug, M., &amp; Hasan, M. S. (2025). Machine learning approaches for classifying chess game outcomes: A comparative analysis of player ratings and game dynamics. Electronics, 15(1), 1. https://doi.org/10.3390/electronics15010001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  <w:jc w:val="center"/>
    </w:pPr>
    <w:rPr>
      <w:rFonts w:ascii="Arial" w:cs="Arial" w:eastAsia="Arial" w:hAnsi="Arial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2026-05-21T13:39:36.766Z</dcterms:created>
  <dcterms:modified xsi:type="dcterms:W3CDTF">2026-05-21T13:39:36.766Z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