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sz w:val="32"/>
          <w:szCs w:val="32"/>
        </w:rPr>
        <w:t xml:space="preserve">Context-Aware Strategy Recommendation in Swiss Chess Tournaments Using Machine Learning</w:t>
      </w:r>
    </w:p>
    <w:p>
      <w:pPr>
        <w:spacing w:after="360"/>
        <w:jc w:val="center"/>
      </w:pPr>
      <w:r>
        <w:rPr>
          <w:i/>
          <w:iCs/>
          <w:sz w:val="24"/>
          <w:szCs w:val="24"/>
        </w:rPr>
        <w:t xml:space="preserve">Capstone Proposal</w:t>
      </w:r>
    </w:p>
    <w:p>
      <w:pPr>
        <w:pStyle w:val="Heading1"/>
      </w:pPr>
      <w:r>
        <w:t xml:space="preserve">1. Introduction</w:t>
      </w:r>
    </w:p>
    <w:p>
      <w:pPr>
        <w:spacing w:after="120" w:line="300"/>
        <w:jc w:val="both"/>
      </w:pPr>
      <w:r>
        <w:t xml:space="preserve">The Elo rating system [1] provides a calibrated probability for the outcome of a single chess game given two ratings, and remains the foundation of competitive chess. In Swiss-system tournaments [2], however, players accumulate scores over several rounds and are paired adaptively against opponents on similar scores. A player's final standing therefore depends not only on per-game probabilities but on the unfolding tournament context — current standing, average opponent strength so far, rounds remaining, color balance, and the structural pairing dynamics of the field.</w:t>
      </w:r>
    </w:p>
    <w:p>
      <w:pPr>
        <w:spacing w:after="120" w:line="300"/>
        <w:jc w:val="both"/>
      </w:pPr>
      <w:r>
        <w:t xml:space="preserve">Strategic stance is also part of this picture. Experienced players adapt their approach round-by-round: pressing for a win when the tournament situation rewards risk, consolidating with a solid line against a stronger opponent, or accepting a quiet draw when standing already permits it. These choices are routinely made by competitors and coaches, but rarely modeled quantitatively.</w:t>
      </w:r>
    </w:p>
    <w:p>
      <w:pPr>
        <w:spacing w:after="120" w:line="300"/>
        <w:jc w:val="both"/>
      </w:pPr>
      <w:r>
        <w:t xml:space="preserve">This capstone proposes a context-aware strategy recommender for Swiss-system chess tournaments. The system maps a player's current situation and a candidate action — aggressive, solid, or passive — to a predicted end-of-tournament performance rating (Rp), and surfaces the action that maximizes that prediction together with the features driving it. The intent is a decision aid for the player, not an autonomous decision-maker.</w:t>
      </w:r>
    </w:p>
    <w:p>
      <w:pPr>
        <w:pStyle w:val="Heading1"/>
      </w:pPr>
      <w:r>
        <w:t xml:space="preserve">2. Literature Review</w:t>
      </w:r>
    </w:p>
    <w:p>
      <w:pPr>
        <w:spacing w:after="120" w:line="300"/>
        <w:jc w:val="both"/>
      </w:pPr>
      <w:r>
        <w:t xml:space="preserve">Existing machine-learning work on chess has focused largely on per-game outcome classification from rating and metadata features [3]. These approaches treat each game as an independent prediction problem and do not condition on tournament-level state such as current standing, color balance, or remaining rounds.</w:t>
      </w:r>
    </w:p>
    <w:p>
      <w:pPr>
        <w:spacing w:after="120" w:line="300"/>
        <w:jc w:val="both"/>
      </w:pPr>
      <w:r>
        <w:t xml:space="preserve">The Elo system [1] itself provides a strong rating-based baseline, but is built on the single-game expectation assumption and does not exploit accumulating within-tournament information. The Swiss pairing mechanism [2] further introduces adaptive opponent selection that breaks game-level independence, but Elo does not model this either.</w:t>
      </w:r>
    </w:p>
    <w:p>
      <w:pPr>
        <w:spacing w:after="120" w:line="300"/>
        <w:jc w:val="both"/>
      </w:pPr>
      <w:r>
        <w:t xml:space="preserve">XGBoost [4] is the established gradient-boosted tree method for tabular regression with mixed feature types — static identity, tournament context, and prior-round state — and is a natural fit for the present setting. Tree boosting is also well-suited to the SHAP attribution framework used below, which is required to expose the recommender's reasoning rather than its output alone.</w:t>
      </w:r>
    </w:p>
    <w:p>
      <w:pPr>
        <w:spacing w:after="120" w:line="300"/>
        <w:jc w:val="both"/>
      </w:pPr>
      <w:r>
        <w:t xml:space="preserve">Work on human–AI joint decision making [5] indicates that interpretable output — recommendations paired with the reasons behind them — outperforms opaque predictions when the end user retains decision authority. This shapes how the recommender is exposed: as a per-round suggestion with SHAP-derived drivers, scored against the player's own judgment.</w:t>
      </w:r>
    </w:p>
    <w:p>
      <w:pPr>
        <w:pStyle w:val="Heading1"/>
      </w:pPr>
      <w:r>
        <w:t xml:space="preserve">3. Problem Statement</w:t>
      </w:r>
    </w:p>
    <w:p>
      <w:pPr>
        <w:spacing w:after="120" w:line="300"/>
        <w:jc w:val="both"/>
      </w:pPr>
      <w:r>
        <w:t xml:space="preserve">The research question is whether the round-by-round strategic stance a player adopts — aggressive, solid, or passive — carries learnable signal for tournament-level outcomes once rating information is controlled for.</w:t>
      </w:r>
    </w:p>
    <w:p>
      <w:pPr>
        <w:spacing w:after="120" w:line="300"/>
        <w:jc w:val="both"/>
      </w:pPr>
      <w:r>
        <w:t xml:space="preserve">The framing has two parts. First, prediction: does context beyond rating reduce error in Rp prediction. Second, recommendation: can the trained model be inverted into a per-round action recommender by re-scoring the situation under each candidate action and returning the one with the highest predicted Rp.</w:t>
      </w:r>
    </w:p>
    <w:p>
      <w:pPr>
        <w:pStyle w:val="Heading1"/>
      </w:pPr>
      <w:r>
        <w:t xml:space="preserve">4. Methods</w:t>
      </w:r>
    </w:p>
    <w:p>
      <w:pPr>
        <w:spacing w:after="120" w:line="300"/>
        <w:jc w:val="both"/>
      </w:pPr>
      <w:r>
        <w:rPr>
          <w:b/>
          <w:bCs/>
        </w:rPr>
        <w:t xml:space="preserve">Data. </w:t>
      </w:r>
      <w:r>
        <w:t xml:space="preserve">150 FIDE-rated Swiss tournaments are scraped from chess-results.com, yielding 9,098 players and 35,728 games. Tournaments span December 2024 and December 2025; the largest federations represented are India, Germany, Argentina, Turkey, Spain, and the United Kingdom. Field sizes range from 30 to 150 players (mean 68.4) and rounds per tournament from 6 to 11. A single pipeline was built to discover candidate events, download pairings and crosstables, parse them to SQLite, validate, engineer features, assign action labels, and train.</w:t>
      </w:r>
    </w:p>
    <w:p>
      <w:pPr>
        <w:spacing w:after="120" w:line="300"/>
        <w:jc w:val="both"/>
      </w:pPr>
      <w:r>
        <w:rPr>
          <w:b/>
          <w:bCs/>
        </w:rPr>
        <w:t xml:space="preserve">Recommender. </w:t>
      </w:r>
      <w:r>
        <w:t xml:space="preserve">For inference, three feature vectors are constructed — one per candidate action (aggressive, solid, passive) — each identical except for the action one-hot columns. The trained XGBoost model is scored on all three; the action yielding the highest predicted Rp is returned as the recommendation together with SHAP-derived top feature attributions for the recommended action.</w:t>
      </w:r>
    </w:p>
    <w:p>
      <w:pPr>
        <w:spacing w:after="120" w:line="300"/>
        <w:jc w:val="both"/>
      </w:pPr>
      <w:r>
        <w:rPr>
          <w:b/>
          <w:bCs/>
        </w:rPr>
        <w:t xml:space="preserve">Evidence of effectiveness. </w:t>
      </w:r>
      <w:r>
        <w:t xml:space="preserve">The methodology has been implemented and produces results consistent with the framing above. On the 29 held-out test tournaments (12,648 rows), Baseline 0 reached MAE = 168.1 Elo points and Baseline 1 reached MAE = 144.7. The XGBoost model reached MAE = 94.3 — a 50.4 Elo-point improvement over Baseline 1 and a 73.8 Elo-point improvement over Baseline 0.</w:t>
      </w:r>
    </w:p>
    <w:p>
      <w:pPr>
        <w:pStyle w:val="Heading1"/>
      </w:pPr>
      <w:r>
        <w:t xml:space="preserve">References</w:t>
      </w:r>
    </w:p>
    <w:p>
      <w:pPr>
        <w:spacing w:after="160" w:line="300"/>
        <w:ind w:left="720" w:hanging="720"/>
        <w:jc w:val="left"/>
      </w:pPr>
      <w:r>
        <w:t xml:space="preserve">[1] A. E. Elo, The Rating of Chess Players, Past and Present. New York, NY, USA: Arco Publishing, 1978.</w:t>
      </w:r>
    </w:p>
    <w:p>
      <w:pPr>
        <w:spacing w:after="160" w:line="300"/>
        <w:ind w:left="720" w:hanging="720"/>
        <w:jc w:val="left"/>
      </w:pPr>
      <w:r>
        <w:t xml:space="preserve">[2] C. Hua, “The Swiss tournament model,” Undergraduate thesis, Wharton School, Univ. Pennsylvania, Philadelphia, PA, USA, 2017.</w:t>
      </w:r>
    </w:p>
    <w:p>
      <w:pPr>
        <w:spacing w:after="160" w:line="300"/>
        <w:ind w:left="720" w:hanging="720"/>
        <w:jc w:val="left"/>
      </w:pPr>
      <w:r>
        <w:t xml:space="preserve">[3] K. Samara, A. Antreassian, M. Klug, and M. S. Hasan, “Machine learning approaches for classifying chess game outcomes: A comparative analysis of player ratings and game dynamics,” Electronics, vol. 15, no. 1, p. 1, 2025, doi: 10.3390/electronics15010001.</w:t>
      </w:r>
    </w:p>
    <w:p>
      <w:pPr>
        <w:spacing w:after="160" w:line="300"/>
        <w:ind w:left="720" w:hanging="720"/>
        <w:jc w:val="left"/>
      </w:pPr>
      <w:r>
        <w:t xml:space="preserve">[4] T. Chen and C. Guestrin, “XGBoost: A scalable tree boosting system,” in Proc. 22nd ACM SIGKDD Int. Conf. Knowl. Discov. Data Min., San Francisco, CA, USA, 2016, pp. 785–794, doi: 10.1145/2939672.2939785.</w:t>
      </w:r>
    </w:p>
    <w:p>
      <w:pPr>
        <w:spacing w:after="160" w:line="300"/>
        <w:ind w:left="720" w:hanging="720"/>
        <w:jc w:val="left"/>
      </w:pPr>
      <w:r>
        <w:t xml:space="preserve">[5] K. Inkpen et al., “Advancing human–AI complementarity: The impact of user expertise and algorithmic tuning on joint decision making,” ACM Trans. Comput.-Hum. Interact., vol. 30, no. 5, Art. no. 71, 2023, doi: 10.1145/3534561.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  <w:jc w:val="center"/>
    </w:pPr>
    <w:rPr>
      <w:rFonts w:ascii="Arial" w:cs="Arial" w:eastAsia="Arial" w:hAnsi="Arial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2026-05-21T13:39:36.647Z</dcterms:created>
  <dcterms:modified xsi:type="dcterms:W3CDTF">2026-05-21T13:39:36.647Z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