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sz w:val="32"/>
          <w:szCs w:val="32"/>
        </w:rPr>
        <w:t xml:space="preserve">Verification Log — Strategy Recommender Paper</w:t>
      </w:r>
    </w:p>
    <w:p>
      <w:pPr>
        <w:spacing w:after="120" w:line="300"/>
        <w:jc w:val="both"/>
      </w:pPr>
      <w:r>
        <w:t xml:space="preserve">Every numeric and factual claim in the draft, with the file and line/section it was pulled from. Sources cite the project repository (rooted at the connected workspace folder) unless otherwise noted. Use this list to spot-check.</w:t>
      </w:r>
    </w:p>
    <w:p>
      <w:pPr>
        <w:pStyle w:val="Heading1"/>
      </w:pPr>
      <w:r>
        <w:t xml:space="preserve">Dataset and pipeline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6680"/>
      </w:tblGrid>
      <w:tr>
        <w:trPr>
          <w:tblHeader/>
        </w:trP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Claim in paper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file &amp; location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Tournaments scraped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Players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9,098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data/interim/validation_report.txt, line 7; final_report.ipynb cell-3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Games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35,728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data/interim/validation_report.txt, line 8; final_report.ipynb cell-3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Player-round observations after labeling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66,594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data/processed/features_labeled.csv (rows); final_report.ipynb cell-3 (“66594 labeled rows”)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Tournaments surviving labeling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147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Computed from features_labeled.csv unique tournament_id; explained by label.py dropping rows with NaN rating_diff or player_result (lines 143–147)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Field-size range and mean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30–150 players, mean 68.4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Computed from chess.db tournaments table (n_players column)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Rounds per tournament range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6–11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Computed from chess.db tournaments.n_rounds column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Sampling period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December 2024 – December 2025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chess.db tournaments.start_date, calendar min 07.12.2024 max 31.12.2025 (72 tournaments in 2024, 78 in 2025); string MIN was reported as 06.12.2025 due to lexicographic DD.MM.YYYY ordering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Top federations by player count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IND, GER, ARG, TUR, ESP, GBR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Computed from chess.db players_in_tournament.federation grouping</w:t>
            </w:r>
          </w:p>
        </w:tc>
      </w:tr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Action class distribution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solid 63.9%, aggressive 22.3%, passive 13.9%</w:t>
            </w:r>
          </w:p>
        </w:tc>
        <w:tc>
          <w:tcPr>
            <w:tcW w:type="dxa" w:w="6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Computed from features_labeled.csv action column counts; consistent with label.py heuristic</w:t>
            </w:r>
          </w:p>
        </w:tc>
      </w:tr>
    </w:tbl>
    <w:p/>
    <w:p>
      <w:pPr>
        <w:pStyle w:val="Heading1"/>
      </w:pPr>
      <w:r>
        <w:t xml:space="preserve">Modeling setup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5880"/>
      </w:tblGrid>
      <w:tr>
        <w:trPr>
          <w:tblHeader/>
        </w:trP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Claim in paper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file &amp; location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Number of features per row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src/train.py FEATURE_COLS list (lines 46–58); src/recommend.py FEATURE_COLS (lines 30–42)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Performance-rating formula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Rp = avg_opp_rating + dp(score%)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src/build_features.py compute_performance_ratings (lines 80–121); _fide_dp imported from fide_utils.py (build_features.py line 30)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Action labelling threshold T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100 Elo points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src/label.py THRESHOLD (line 39)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No-leakage construction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src/build_features.py prior filter (line 234), rows.append (lines 263–294) and module docstring (lines 12–17)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Train/test split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80/20 by tournament_id, random_state = 42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src/train.py load_and_split (lines 73–94)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Train tournaments / rows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118 tournaments, 53,946 rows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lines 6, 8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 tournaments / rows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29 tournaments, 12,648 rows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lines 7, 8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Cross-validation strategy</w:t>
            </w:r>
          </w:p>
        </w:tc>
        <w:tc>
          <w:tcPr>
            <w:tcW w:type="dxa" w:w="4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GroupKFold(5) on tournament_id, RandomizedSearchCV n_iter = 40, scoring = neg-MAE</w:t>
            </w:r>
          </w:p>
        </w:tc>
        <w:tc>
          <w:tcPr>
            <w:tcW w:type="dxa" w:w="5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src/train.py train_xgboost (lines 141–203)</w:t>
            </w:r>
          </w:p>
        </w:tc>
      </w:tr>
    </w:tbl>
    <w:p/>
    <w:p>
      <w:pPr>
        <w:pStyle w:val="Heading1"/>
      </w:pPr>
      <w:r>
        <w:t xml:space="preserve">Model performance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6480"/>
      </w:tblGrid>
      <w:tr>
        <w:trPr>
          <w:tblHeader/>
        </w:trP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Claim in paper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file &amp; location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0 MAE (rating-bracket mean Rp)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168.1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12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1 MAE (Elo expected score)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144.7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13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XGBoost test MAE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94.3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14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XGBoost best CV MAE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88.5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14 (“best CV MAE 88.5”)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Improvement vs Baseline 0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+73.8 Elo points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16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Improvement vs Baseline 1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+50.4 Elo points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16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Reduction vs Baseline 1 (35%)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Computed from training_report.txt MAEs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CV-to-test gap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5.8 Elo points</w:t>
            </w:r>
          </w:p>
        </w:tc>
        <w:tc>
          <w:tcPr>
            <w:tcW w:type="dxa" w:w="6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/>
    <w:p>
      <w:pPr>
        <w:pStyle w:val="Heading1"/>
      </w:pPr>
      <w:r>
        <w:t xml:space="preserve">Selected hyperparameters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7880"/>
      </w:tblGrid>
      <w:tr>
        <w:trPr>
          <w:tblHeader/>
        </w:trP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Claim in paper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file &amp; location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n_estimators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136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32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max_depth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30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learning_rate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0.0458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29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subsample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0.7115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35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colsample_bytree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0.8119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27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min_child_weight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31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gamma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0.1209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28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reg_alpha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0.8826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33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reg_lambda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0.8774</w:t>
            </w:r>
          </w:p>
        </w:tc>
        <w:tc>
          <w:tcPr>
            <w:tcW w:type="dxa" w:w="7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34</w:t>
            </w:r>
          </w:p>
        </w:tc>
      </w:tr>
    </w:tbl>
    <w:p/>
    <w:p>
      <w:pPr>
        <w:pStyle w:val="Heading1"/>
      </w:pPr>
      <w:r>
        <w:t xml:space="preserve">Feature importance (gain)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200"/>
        <w:gridCol w:w="7480"/>
      </w:tblGrid>
      <w:tr>
        <w:trPr>
          <w:tblHeader/>
        </w:trP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Claim in paper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file &amp; location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title_encoded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0.3837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39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player_rating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0.3420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40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Sum of top-2 identity features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Computed: (0.3837 + 0.3420) / sum of all importances; training_report.txt lines 39–53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score_delta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0.0465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41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avg_opponent_rating_so_far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0.0273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42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rating_gap_to_field_avg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0.0238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43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tournament_avg_rating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0.0195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44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action_passive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0.0146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46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action_aggressive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0.0116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47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opponent_rating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0.0115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48</w:t>
            </w:r>
          </w:p>
        </w:tc>
      </w:tr>
      <w:tr>
        <w:tc>
          <w:tcPr>
            <w:tcW w:type="dxa" w:w="4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action_solid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0.0113</w:t>
            </w:r>
          </w:p>
        </w:tc>
        <w:tc>
          <w:tcPr>
            <w:tcW w:type="dxa" w:w="74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49</w:t>
            </w:r>
          </w:p>
        </w:tc>
      </w:tr>
    </w:tbl>
    <w:p/>
    <w:p>
      <w:pPr>
        <w:pStyle w:val="Heading1"/>
      </w:pPr>
      <w:r>
        <w:t xml:space="preserve">SHAP / direction claims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200"/>
        <w:gridCol w:w="7280"/>
      </w:tblGrid>
      <w:tr>
        <w:trPr>
          <w:tblHeader/>
        </w:trPr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Claim in paper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7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file &amp; location</w:t>
            </w:r>
          </w:p>
        </w:tc>
      </w:tr>
      <w:tr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Qualitative</w:t>
            </w:r>
          </w:p>
        </w:tc>
        <w:tc>
          <w:tcPr>
            <w:tcW w:type="dxa" w:w="7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notebooks/shap_summary.png (Figure 3 in paper) — supported also by the per-action gain ranking (action_passive &gt; aggressive &gt; solid in training_report.txt) and recommender scenarios in final_report.ipynb cell-12 (e.g., S4: action_aggressive shap +45.0)</w:t>
            </w:r>
          </w:p>
        </w:tc>
      </w:tr>
      <w:tr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score_delta is leading dynamic predictor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0.0465 gain</w:t>
            </w:r>
          </w:p>
        </w:tc>
        <w:tc>
          <w:tcPr>
            <w:tcW w:type="dxa" w:w="7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models/training_report.txt, line 41 (top dynamic feature after the two identity features)</w:t>
            </w:r>
          </w:p>
        </w:tc>
      </w:tr>
    </w:tbl>
    <w:p/>
    <w:p>
      <w:pPr>
        <w:pStyle w:val="Heading1"/>
      </w:pPr>
      <w:r>
        <w:t xml:space="preserve">Recommender scenarios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3800"/>
        <w:gridCol w:w="5080"/>
      </w:tblGrid>
      <w:tr>
        <w:trPr>
          <w:tblHeader/>
        </w:trP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Claim in paper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  <w:tc>
          <w:tcPr>
            <w:tcW w:type="dxa" w:w="5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file &amp; location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S4 1600/1900 round 3/9 +2 streak: recommendation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AGGRESSIVE, strong confidence</w:t>
            </w:r>
          </w:p>
        </w:tc>
        <w:tc>
          <w:tcPr>
            <w:tcW w:type="dxa" w:w="5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S4 predicted Rp by action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aggressive 1828, solid 1714, passive 1736</w:t>
            </w:r>
          </w:p>
        </w:tc>
        <w:tc>
          <w:tcPr>
            <w:tcW w:type="dxa" w:w="5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notebooks/final_report.ipynb cell-12 output (“--- S4 ... Aggressive=1828  Solid=1714  Passive=1736”)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S3 must-win 2200/2000 final round: recommendation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SOLID, strong confidence</w:t>
            </w:r>
          </w:p>
        </w:tc>
        <w:tc>
          <w:tcPr>
            <w:tcW w:type="dxa" w:w="5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notebooks/final_report.ipynb cell-12 output (“S3 — Must-win ... SOLID (2032)”)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S3 dominant SHAP driver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notebooks/final_report.ipynb cell-12 output (“Recommended SOLID — top 3 drivers: ... score_delta -1.56 (shap -161.8)”)</w:t>
            </w:r>
          </w:p>
        </w:tc>
      </w:tr>
      <w:tr>
        <w:tc>
          <w:tcPr>
            <w:tcW w:type="dxa" w:w="4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Confidence threshold (strong/marginal)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0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src/recommend.py recommend (lines 211–213)</w:t>
            </w:r>
          </w:p>
        </w:tc>
      </w:tr>
    </w:tbl>
    <w:p/>
    <w:p>
      <w:pPr>
        <w:pStyle w:val="Heading1"/>
      </w:pPr>
      <w:r>
        <w:t xml:space="preserve">References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8680"/>
      </w:tblGrid>
      <w:tr>
        <w:trPr>
          <w:tblHeader/>
        </w:trPr>
        <w:tc>
          <w:tcPr>
            <w:tcW w:type="dxa" w:w="5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Reference</w:t>
            </w:r>
          </w:p>
        </w:tc>
        <w:tc>
          <w:tcPr>
            <w:tcW w:type="dxa" w:w="8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Source location</w:t>
            </w:r>
          </w:p>
        </w:tc>
      </w:tr>
      <w:tr>
        <w:tc>
          <w:tcPr>
            <w:tcW w:type="dxa" w:w="5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Elo (1978) — Elo rating system foundation</w:t>
            </w:r>
          </w:p>
        </w:tc>
        <w:tc>
          <w:tcPr>
            <w:tcW w:type="dxa" w:w="8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References/1978-elo-theratingofchessplayerspastandpresent.pdf</w:t>
            </w:r>
          </w:p>
        </w:tc>
      </w:tr>
      <w:tr>
        <w:tc>
          <w:tcPr>
            <w:tcW w:type="dxa" w:w="5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Hua (2017) — Swiss tournament model</w:t>
            </w:r>
          </w:p>
        </w:tc>
        <w:tc>
          <w:tcPr>
            <w:tcW w:type="dxa" w:w="8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References/The Swiss Tournament Model.pdf, Wharton Research Scholars undergraduate thesis (cover page)</w:t>
            </w:r>
          </w:p>
        </w:tc>
      </w:tr>
      <w:tr>
        <w:tc>
          <w:tcPr>
            <w:tcW w:type="dxa" w:w="5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Chen &amp; Guestrin (2016) — XGBoost</w:t>
            </w:r>
          </w:p>
        </w:tc>
        <w:tc>
          <w:tcPr>
            <w:tcW w:type="dxa" w:w="8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References/XGBoost A Scalable Tree Boosting System.pdf, KDD '16 (page 1, header lists authors)</w:t>
            </w:r>
          </w:p>
        </w:tc>
      </w:tr>
      <w:tr>
        <w:tc>
          <w:tcPr>
            <w:tcW w:type="dxa" w:w="5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Inkpen et al. (2023) — human–AI complementarity</w:t>
            </w:r>
          </w:p>
        </w:tc>
        <w:tc>
          <w:tcPr>
            <w:tcW w:type="dxa" w:w="8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References/Advancing Human-AI Complementarity.pdf, ACM TOCHI vol. 30 issue 5 article 71, DOI 10.1145/3534561 (page 1 footer)</w:t>
            </w:r>
          </w:p>
        </w:tc>
      </w:tr>
      <w:tr>
        <w:tc>
          <w:tcPr>
            <w:tcW w:type="dxa" w:w="5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Samara et al. (2025) — chess-outcome ML</w:t>
            </w:r>
          </w:p>
        </w:tc>
        <w:tc>
          <w:tcPr>
            <w:tcW w:type="dxa" w:w="86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References/Machine Learning Approaches for Classifying Chess Game Outcomes.pdf, Electronics 15(1):1, DOI 10.3390/electronics15010001 (page 1 metadata)</w:t>
            </w:r>
          </w:p>
        </w:tc>
      </w:tr>
    </w:tbl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  <w:jc w:val="center"/>
    </w:pPr>
    <w:rPr>
      <w:rFonts w:ascii="Arial" w:cs="Arial" w:eastAsia="Arial" w:hAnsi="Arial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2026-05-21T13:39:36.807Z</dcterms:created>
  <dcterms:modified xsi:type="dcterms:W3CDTF">2026-05-21T13:39:36.807Z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