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Context-Aware Strategy Recommendation in Swiss Chess Tournaments Using Machine Learning</w:t>
      </w:r>
    </w:p>
    <w:p w:rsidR="00000000" w:rsidDel="00000000" w:rsidP="00000000" w:rsidRDefault="00000000" w:rsidRPr="00000000" w14:paraId="00000002">
      <w:pPr>
        <w:spacing w:after="240" w:before="240" w:lineRule="auto"/>
        <w:rPr/>
      </w:pPr>
      <w:r w:rsidDel="00000000" w:rsidR="00000000" w:rsidRPr="00000000">
        <w:rPr>
          <w:rtl w:val="0"/>
        </w:rPr>
        <w:t xml:space="preserve">Decision-making in structured competitive environments often requires balancing mathematical expectation against situational context. In chess, the Elo rating system provides reliable expected outcomes for individual games, yet experienced players routinely deviate from mathematically optimal play based on tournament standing, round number, opponent profile, and competitive momentum. Whether these contextual deviations can be systematically learned and recommended by a machine learning model remains underexplored.</w:t>
      </w:r>
    </w:p>
    <w:p w:rsidR="00000000" w:rsidDel="00000000" w:rsidP="00000000" w:rsidRDefault="00000000" w:rsidRPr="00000000" w14:paraId="00000003">
      <w:pPr>
        <w:spacing w:after="240" w:before="240" w:lineRule="auto"/>
        <w:rPr/>
      </w:pPr>
      <w:r w:rsidDel="00000000" w:rsidR="00000000" w:rsidRPr="00000000">
        <w:rPr>
          <w:rtl w:val="0"/>
        </w:rPr>
        <w:t xml:space="preserve">This study introduces a context-aware strategy recommendation system for Swiss-system chess tournaments. Using data scraped from 150 FIDE-rated tournaments comprising 37,186 games, we train an XGBoost regression model that predicts a player's tournament performance rating conditioned on both game-level features and a proposed strategic action (aggressive, solid, or passive). The model achieves a mean absolute error of 94.3 rating points, reducing prediction error by 50.4 points compared to an Elo-only baseline (144.7 MAE), demonstrating that tournament context carries learnable signal beyond raw rating strength. SHAP analysis identifies in-tournament score deviation from expectation as the leading dynamic predictor, while strategic action labels carry independent signal — passive play consistently predicts lower performance ratings, and aggressive play predicts higher ones, controlling for player strength and opponent quality.</w:t>
      </w:r>
    </w:p>
    <w:p w:rsidR="00000000" w:rsidDel="00000000" w:rsidP="00000000" w:rsidRDefault="00000000" w:rsidRPr="00000000" w14:paraId="00000004">
      <w:pPr>
        <w:spacing w:after="240" w:before="240" w:lineRule="auto"/>
        <w:rPr/>
      </w:pPr>
      <w:r w:rsidDel="00000000" w:rsidR="00000000" w:rsidRPr="00000000">
        <w:rPr>
          <w:rtl w:val="0"/>
        </w:rPr>
        <w:t xml:space="preserve">The framework — mapping situational state and candidate actions to predicted outcomes — is domain-transferable. We briefly discuss its applicability to financial decision-making, where analogous contextual factors such as market regime, portfolio state, and sector momentum may similarly augment quantitative baselines, consistent with growing evidence that AI systems are most effective as complements to, rather than replacements for, expert human judgment.</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