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28"/>
          <w:szCs w:val="28"/>
        </w:rPr>
        <w:t xml:space="preserve">Context-Aware Strategy Recommendation in Swiss Chess Tournaments Using Machine Learning</w:t>
      </w:r>
    </w:p>
    <w:p>
      <w:pPr>
        <w:pStyle w:val="Heading2"/>
        <w:spacing w:after="120" w:before="240"/>
      </w:pPr>
      <w:r>
        <w:t xml:space="preserve">Abstract</w:t>
      </w:r>
    </w:p>
    <w:p>
      <w:pPr>
        <w:spacing w:after="80" w:line="240"/>
        <w:jc w:val="both"/>
      </w:pPr>
      <w:r>
        <w:t xml:space="preserve">Outcomes in Swiss-system chess tournaments depend not only on per-game probabilities but on accumulating context — current standing, opponent strength so far, rounds remaining, and color allocation. The Elo rating system models single-game expectation but ignores this structure, and the strategic dimension (whether to play aggressively, solidly, or passively in a given round) is rarely modeled. Using 66,594 player-round observations from 147 Swiss tournaments scraped from chess-results.com, we train an XGBoost regressor that predicts a player's final FIDE performance rating (Rp) conditioned on situational features and a candidate action. On 29 held-out tournaments, the model attains a mean absolute error of 94.3 Elo points, beating a rating-bracket-mean baseline by 73.8 points and an Elo expected-score baseline by 50.3 points (a 35% reduction); the cross-validated MAE of 88.5 indicates limited overfitting. SHAP analysis identifies score deviation from Elo expectation as the leading dynamic predictor; action one-hots carry small but non-zero gain (0.011–0.015), with passive play associated with lower predicted Rp and aggressive play with higher Rp after controlling for player and opponent strength. The situation × action → predicted-outcome scaffold is a generic recommender pattern, though transfer to other sequential-decision domains would require task-specific labels and validation.</w:t>
      </w:r>
    </w:p>
    <w:p>
      <w:pPr>
        <w:pStyle w:val="Heading2"/>
        <w:spacing w:after="120" w:before="240"/>
      </w:pPr>
      <w:r>
        <w:t xml:space="preserve">1. Introduction</w:t>
      </w:r>
    </w:p>
    <w:p>
      <w:pPr>
        <w:spacing w:after="80" w:line="240"/>
        <w:jc w:val="both"/>
      </w:pPr>
      <w:r>
        <w:t xml:space="preserve">The Elo rating system (Elo, 1978) provides a calibrated probability for the outcome of a single chess game given two ratings, and remains the foundation of competitive chess. In Swiss-system tournaments (Hua, 2017), however, players accumulate scores over several rounds and are paired adaptively against opponents on similar scores. A player's final standing therefore depends not only on per-game probabilities but on the unfolding tournament context — current standing, average opponent strength so far, rounds remaining, color balance, and the structural pairing dynamics of the field.</w:t>
      </w:r>
    </w:p>
    <w:p>
      <w:pPr>
        <w:spacing w:after="80" w:line="240"/>
        <w:jc w:val="both"/>
      </w:pPr>
      <w:r>
        <w:t xml:space="preserve">Recent machine-learning work on chess has focused mainly on per-game outcome classification from rating and metadata features (Samara et al., 2025). Tournament-level decision-making — when to take risks, when to consolidate, when to simplify toward a draw — is well understood by coaches but has received little quantitative treatment.</w:t>
      </w:r>
    </w:p>
    <w:p>
      <w:pPr>
        <w:spacing w:after="80" w:line="240"/>
        <w:jc w:val="both"/>
      </w:pPr>
      <w:r>
        <w:t xml:space="preserve">We ask whether the round-by-round strategic stance a player adopts (aggressive, solid, or passive) carries learnable signal for tournament-level outcomes once rating information is controlled for. We frame the problem as regression on a player's final performance rating (Rp) given (situation, candidate action), train an XGBoost model on 150 FIDE-rated Swiss tournaments scraped from chess-results.com, and expose it as a per-round strategy recommender. The system is intended as a decision aid, consistent with evidence that human–AI teams perform best when models complement rather than substitute for expertise (Inkpen et al., 2023).</w:t>
      </w:r>
    </w:p>
    <w:p>
      <w:pPr>
        <w:pStyle w:val="Heading2"/>
        <w:spacing w:after="120" w:before="240"/>
      </w:pPr>
      <w:r>
        <w:t xml:space="preserve">2. Methods</w:t>
      </w:r>
    </w:p>
    <w:p>
      <w:pPr>
        <w:spacing w:after="80" w:line="240"/>
        <w:jc w:val="both"/>
      </w:pPr>
      <w:r>
        <w:t xml:space="preserve">Data. We scraped 150 FIDE-rated Swiss tournaments from chess-results.com, yielding 10,253 player entries and 37,186 games (validation_report.txt). Tournaments cluster in December 2025; the largest federations represented are India, Serbia, Ukraine, Germany, and Argentina. Field sizes range from 30 to 150 players (mean 68.4) and rounds per tournament from 6 to 11. A single pipeline (run_pipeline.sh) discovers candidate events, downloads pairings and crosstables, parses them to SQLite, validates, engineers features, assigns action labels, and trains.</w:t>
      </w:r>
    </w:p>
    <w:p>
      <w:pPr>
        <w:spacing w:after="80" w:line="240"/>
        <w:jc w:val="both"/>
      </w:pPr>
      <w:r>
        <w:t xml:space="preserve">Target and features. Each player's final performance rating Rp is computed with the FIDE formula Rp = avg_opp_rating + dp(score%), where dp() is the official rating-difference lookup (build_features.py, _FIDE_DP). We construct one row per (player, round) with 25 features: static identity (starting_rating, title_encoded, seed_percentile), tournament context (tournament_avg_rating, tournament_rating_std, n_rounds_total, field_size, rating_gap_to_field_avg), prior-round state computed only over rounds 1..r−1 to avoid leakage (current_score, expected_score_so_far, score_delta = actual − expected, avg_opponent_rating_so_far, color_balance, current_rank, gap_to_leader), current pairing (opponent_rating, rating_diff, expected_score_this_game, playing_white, opponent_current_score), and three action one-hots.</w:t>
      </w:r>
    </w:p>
    <w:p>
      <w:pPr>
        <w:spacing w:after="80" w:line="240"/>
        <w:jc w:val="both"/>
      </w:pPr>
      <w:r>
        <w:t xml:space="preserve">Action labels. Each completed game receives one of three labels by a deterministic rule on rating_diff (player − opponent, threshold T = 100 Elo) crossed with the result (label.py, assign_action): an upset win as the underdog is aggressive, a draw against a stronger opponent is solid, a draw or loss against a weaker opponent is passive; priority on overlap is passive &gt; solid &gt; aggressive. After dropping rows with missing rating_diff (unrated opponents or byes), the labeled dataset contains 66,594 rows across 147 tournaments, with class distribution solid 63.9%, aggressive 22.3%, passive 13.9%.</w:t>
      </w:r>
    </w:p>
    <w:p>
      <w:pPr>
        <w:spacing w:after="80" w:line="240"/>
        <w:jc w:val="both"/>
      </w:pPr>
      <w:r>
        <w:t xml:space="preserve">Models and split. Two baselines are compared against one tree-boosted regressor on the same target. Baseline 0 predicts the mean training Rp within the player's rating bracket (&lt;1500, 1500–1800, 1800–2100, ≥2100); Baseline 1 predicts each player's Rp from the FIDE formula applied to their realized expected score across the tournament. The main model is XGBoost (Chen &amp; Guestrin, 2016) trained on all 25 features with squared-error loss and tree_method = "hist", tuned via RandomizedSearchCV (n_iter = 40, scoring = −MAE) over depth, learning rate, regularization, and sampling rates. Cross-validation uses GroupKFold(5) with tournament_id as the grouping variable to prevent same-tournament leakage. Tournaments are partitioned 80/20 by tournament_id (random_state = 42), giving 118 training tournaments (53,946 rows) and 29 held-out test tournaments (12,648 rows; train.py).</w:t>
      </w:r>
    </w:p>
    <w:p>
      <w:pPr>
        <w:spacing w:after="80" w:line="240"/>
        <w:jc w:val="both"/>
      </w:pPr>
      <w:r>
        <w:t xml:space="preserve">Recommender. For inference (recommend.py), three feature rows are constructed for the current situation — one per candidate action — scored with the trained model, and the action with the highest predicted Rp is returned. Confidence is reported as "strong" if the margin to the second-best action is ≥ 15 Elo points and "marginal" otherwise; a SHAP TreeExplainer surfaces the three largest drivers of the recommended prediction.</w:t>
      </w:r>
    </w:p>
    <w:p>
      <w:pPr>
        <w:pStyle w:val="Heading2"/>
        <w:spacing w:after="120" w:before="240"/>
      </w:pPr>
      <w:r>
        <w:t xml:space="preserve">3. Results</w:t>
      </w:r>
    </w:p>
    <w:p>
      <w:pPr>
        <w:spacing w:after="80" w:line="240"/>
        <w:jc w:val="both"/>
      </w:pPr>
      <w:r>
        <w:t xml:space="preserve">Predictive accuracy. On the 29 held-out test tournaments (12,648 rows), the bracket-mean baseline reached MAE = 168.1 Elo points and the Elo-formula baseline reached MAE = 144.7 (training_report.txt). XGBoost reached MAE = 94.3 — a 73.8-point improvement over Baseline 0 and a 50.3-point improvement over Baseline 1, equivalent to a 35% reduction against the stronger baseline (Figure 1, mae_comparison.png). The best cross-validated MAE during hyperparameter search was 88.5; the small CV-to-test gap (5.8 points) suggests limited overfitting given 118 training tournaments, in contrast to earlier 10-tournament runs that produced markedly larger gaps (final_report.ipynb). The selected configuration was 136 trees of max depth 6, learning_rate 0.046, subsample 0.71, colsample_bytree 0.81, min_child_weight 5, gamma 0.12, reg_alpha 0.88, reg_lambda 0.88.</w:t>
      </w:r>
    </w:p>
    <w:p>
      <w:pPr>
        <w:spacing w:after="80" w:line="240"/>
        <w:jc w:val="both"/>
      </w:pPr>
      <w:r>
        <w:t xml:space="preserve">Feature importance. Gain-based importances (Figure 2, feature_importance.png) are dominated by the two static identity features — title_encoded (0.384) and player_rating (0.342) — together accounting for ≈73% of total gain. The leading dynamic predictor is score_delta (0.047), how far a player's running score departs from Elo expectation over the rounds played so far, followed by avg_opponent_rating_so_far (0.027), rating_gap_to_field_avg (0.024), and tournament_avg_rating (0.020). The three action one-hots carry small but non-trivial gain: action_passive (0.015) &gt; action_aggressive (0.012) ≈ action_solid (0.011).</w:t>
      </w:r>
    </w:p>
    <w:p>
      <w:pPr>
        <w:spacing w:after="80" w:line="240"/>
        <w:jc w:val="both"/>
      </w:pPr>
      <w:r>
        <w:t xml:space="preserve">SHAP analysis (Figure 3, shap_summary.png) confirms direction: after controlling for player and opponent strength, action_passive contributes a consistently downward push to predicted Rp when active, action_aggressive contributes an upward push, and score_delta interacts strongly with current_score — players running ahead of Elo expectation receive a larger positive Rp adjustment.</w:t>
      </w:r>
    </w:p>
    <w:p>
      <w:pPr>
        <w:spacing w:after="80" w:line="240"/>
        <w:jc w:val="both"/>
      </w:pPr>
      <w:r>
        <w:t xml:space="preserve">Recommender behavior. Across five reference scenarios (final_report.ipynb, §5), the recommender returns "marginal" confidence in four cases and "strong" in one — a 1600-rated player on +2 streak paired up against a 1900 in round 3 of 9 — where it recommends aggressive (predicted Rp 1828 vs solid 1714, passive 1736), driven by positive SHAP contributions from score_delta and the action_aggressive one-hot. In a must-win scenario (2200 at 3/6 in the final round, gap_to_leader = −2.5, vs a 2000 opponent), the model recommends solid with strong confidence; score_delta = −1.56 is the largest negative SHAP driver.</w:t>
      </w:r>
    </w:p>
    <w:p>
      <w:pPr>
        <w:pStyle w:val="Heading2"/>
        <w:spacing w:after="120" w:before="240"/>
      </w:pPr>
      <w:r>
        <w:t xml:space="preserve">4. Discussion</w:t>
      </w:r>
    </w:p>
    <w:p>
      <w:pPr>
        <w:spacing w:after="80" w:line="240"/>
        <w:jc w:val="both"/>
      </w:pPr>
      <w:r>
        <w:t xml:space="preserve">The model adds genuine predictive value beyond rating-only baselines. A 50.3-point MAE reduction against the FIDE Elo baseline indicates that tournament context — not just rating identity — carries learnable signal for end-of-event Rp.</w:t>
      </w:r>
    </w:p>
    <w:p>
      <w:pPr>
        <w:spacing w:after="80" w:line="240"/>
        <w:jc w:val="both"/>
      </w:pPr>
      <w:r>
        <w:t xml:space="preserve">That said, gain importance remains dominated by static identity features. This is expected: a player's title and rating are very strong priors on their performance level. The contribution of the action features is modest in raw gain (≈1–1.5%) but consistent in direction under SHAP, supporting the interpretation that strategic stance contributes independent signal once player and opponent strength are accounted for. Practically, this is the signal the recommender exploits — re-scoring the same situation under each candidate action and surfacing the option with the highest predicted Rp.</w:t>
      </w:r>
    </w:p>
    <w:p>
      <w:pPr>
        <w:spacing w:after="80" w:line="240"/>
        <w:jc w:val="both"/>
      </w:pPr>
      <w:r>
        <w:t xml:space="preserve">Several limitations should be made explicit. (1) Action labels are heuristic, derived from result-vs-Elo-expectation patterns rather than move-level chess analysis; a fortunate win in a drawn position can be labeled aggressive when no strategic risk was actually taken. (2) The dataset is restricted to Swiss-system events; round-robin and match play have different scoring incentives and pairing dynamics and would require separate validation. (3) chess-results.com publishes only results and ratings — no game scores — so move-quality signals (engine evaluation, blunder rate, opening choice, time pressure) are absent and likely informative. (4) Performance rating is one summary statistic; some tournament objectives (title norms, prize-stratified standings) diverge from maximizing round-by-round Rp. (5) Sample timing skews to December 2025 and is therefore vulnerable to temporal drift.</w:t>
      </w:r>
    </w:p>
    <w:p>
      <w:pPr>
        <w:spacing w:after="80" w:line="240"/>
        <w:jc w:val="both"/>
      </w:pPr>
      <w:r>
        <w:t xml:space="preserve">Framing matters. The system surfaces a context-conditioned expectation and the SHAP drivers behind it; the chess decision still rests with the player. This is consistent with evidence that human–AI complementarity outperforms either alone when the model is exposed as an interpretable suggestion rather than an opaque verdict (Inkpen et al., 2023). The same situation × action → predicted-outcome scaffold could in principle apply to other sequential-decision settings (e.g., portfolio adjustments under regime shifts), but each new domain requires its own labels, baselines, and validation.</w:t>
      </w:r>
    </w:p>
    <w:p>
      <w:pPr>
        <w:pStyle w:val="Heading2"/>
        <w:spacing w:after="120" w:before="240"/>
      </w:pPr>
      <w:r>
        <w:t xml:space="preserve">References</w:t>
      </w:r>
    </w:p>
    <w:p>
      <w:pPr>
        <w:spacing w:after="60" w:line="220"/>
        <w:ind w:left="720" w:hanging="720"/>
      </w:pPr>
      <w:r>
        <w:t xml:space="preserve">Chen, T., &amp; Guestrin, C. (2016). XGBoost: A scalable tree boosting system. In Proceedings of the 22nd ACM SIGKDD International Conference on Knowledge Discovery and Data Mining (pp. 785–794). Association for Computing Machinery. https://doi.org/10.1145/2939672.2939785</w:t>
      </w:r>
    </w:p>
    <w:p>
      <w:pPr>
        <w:spacing w:after="60" w:line="220"/>
        <w:ind w:left="720" w:hanging="720"/>
      </w:pPr>
      <w:r>
        <w:t xml:space="preserve">Elo, A. E. (1978). The rating of chess players, past and present. Arco Publishing.</w:t>
      </w:r>
    </w:p>
    <w:p>
      <w:pPr>
        <w:spacing w:after="60" w:line="220"/>
        <w:ind w:left="720" w:hanging="720"/>
      </w:pPr>
      <w:r>
        <w:t xml:space="preserve">Hua, C. (2017). The Swiss tournament model [Undergraduate thesis, The Wharton School, University of Pennsylvania]. Wharton Research Scholars.</w:t>
      </w:r>
    </w:p>
    <w:p>
      <w:pPr>
        <w:spacing w:after="60" w:line="220"/>
        <w:ind w:left="720" w:hanging="720"/>
      </w:pPr>
      <w:r>
        <w:t xml:space="preserve">Inkpen, K., Chappidi, S., Mallari, K., Nushi, B., Ramesh, D., Michelucci, P., Mandava, V., Vepřek, L. H., &amp; Quinn, G. (2023). Advancing human–AI complementarity: The impact of user expertise and algorithmic tuning on joint decision making. ACM Transactions on Computer-Human Interaction, 30(5), Article 71. https://doi.org/10.1145/3534561</w:t>
      </w:r>
    </w:p>
    <w:p>
      <w:pPr>
        <w:spacing w:after="60" w:line="220"/>
        <w:ind w:left="720" w:hanging="720"/>
      </w:pPr>
      <w:r>
        <w:t xml:space="preserve">Samara, K., Antreassian, A., Klug, M., &amp; Hasan, M. S. (2025). Machine learning approaches for classifying chess game outcomes: A comparative analysis of player ratings and game dynamics. Electronics, 15(1), 1. https://doi.org/10.3390/electronics15010001</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Strategy Recommendation in Swiss Chess Tournaments</dc:title>
  <dc:creator>Azat</dc:creator>
  <cp:lastModifiedBy>Un-named</cp:lastModifiedBy>
  <cp:revision>1</cp:revision>
  <dcterms:created xsi:type="dcterms:W3CDTF">2026-05-05T11:16:05.967Z</dcterms:created>
  <dcterms:modified xsi:type="dcterms:W3CDTF">2026-05-05T11:16:05.967Z</dcterms:modified>
</cp:coreProperties>
</file>

<file path=docProps/custom.xml><?xml version="1.0" encoding="utf-8"?>
<Properties xmlns="http://schemas.openxmlformats.org/officeDocument/2006/custom-properties" xmlns:vt="http://schemas.openxmlformats.org/officeDocument/2006/docPropsVTypes"/>
</file>