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Verification log — Strategy Recommender Paper</w:t>
      </w:r>
    </w:p>
    <w:p>
      <w:pPr>
        <w:spacing w:after="200" w:line="260"/>
        <w:jc w:val="both"/>
      </w:pPr>
      <w:r>
        <w:rPr>
          <w:sz w:val="20"/>
          <w:szCs w:val="20"/>
        </w:rPr>
        <w:t xml:space="preserve">Every numeric and factual claim in the draft, with the file and line/section it was pulled from. Sources cite the project repository (rooted at the connected workspace folder) unless otherwise noted. Use this list to spot-check before submission.</w:t>
      </w:r>
    </w:p>
    <w:p>
      <w:pPr>
        <w:pStyle w:val="Heading2"/>
        <w:spacing w:after="100" w:before="200"/>
      </w:pPr>
      <w:r>
        <w:rPr>
          <w:b/>
          <w:bCs/>
        </w:rPr>
        <w:t xml:space="preserve">Dataset and pipeline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Tournaments scraped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data/interim/validation_report.txt, header line 6; final_report.ipynb cell-3 output ("parse → chess.db: 150 tournaments")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Player entries (player-tournament rows)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10,253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data/interim/validation_report.txt, line 7; final_report.ipynb cell-3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Games (excluding byes)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37,186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data/interim/validation_report.txt, line 8; final_report.ipynb cell-3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Player-round observations after labeling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66,594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data/processed/features_labeled.csv (rows); final_report.ipynb cell-3 ("66594 labeled rows")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Tournaments surviving labeling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147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features_labeled.csv unique tournament_id; explained by label.py dropping rows with NaN rating_diff (lines 144–149)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Field-size range and mean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30–150 players, mean 68.4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chess.db tournaments table (n_players column)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Rounds per tournament range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6–11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chess.db tournaments.n_rounds column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Sampling period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December 2025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chess.db tournaments.start_date, min 06.12.2025 max 31.12.2025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Top federations by player 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IND, SRB, UKR, GER, ARG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chess.db players_in_tournament.federation grouping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Action class distribution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solid 63.9%, aggressive 22.3%, passive 13.9%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features_labeled.csv action column counts; consistent with label.py heuristic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Modeling setup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Number of features per row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src/train.py FEATURE_COLS list (lines 69–81); src/recommend.py FEATURE_COLS (lines 30–42)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Performance-rating formula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Rp = avg_opp_rating + dp(score%)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src/build_features.py compute_performance_ratings (lines 111–152), _FIDE_DP table (lines 43–64)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Action labelling threshold 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100 Elo points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src/label.py THRESHOLD (line 41); priority comment lines 19–20 (passive &gt; solid &gt; aggressive)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No-leakage construction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Round-state features computed only over rounds 1..r−1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src/build_features.py inner loop (lines 261–280, "prior" filter) and module docstring (lines 12–17)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80/20 by tournament_id, random_state = 42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src/train.py load_and_split (lines 96–117)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Train tournaments / rows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118 tournaments, 53,946 rows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lines 6, 8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Test tournaments / rows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29 tournaments, 12,648 rows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lines 7, 8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Cross-validation strategy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GroupKFold(5) on tournament_id, RandomizedSearchCV n_iter = 40, scoring = neg-MAE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src/train.py train_xgboost (lines 164–225)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Model performance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Baseline 0 MAE (rating-bracket mean Rp)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168.1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13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Baseline 1 MAE (Elo expected score)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144.7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14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XGBoost test MAE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94.3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15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XGBoost best CV MAE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88.5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15 ("best CV MAE 88.5")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Improvement vs Baseline 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+73.8 Elo points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17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Improvement vs Baseline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+50.3 Elo points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17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Reduction vs Baseline 1 (35%)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(144.7 − 94.3) / 144.7 = 0.348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training_report.txt MAEs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CV-to-test gap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5.8 Elo points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 from training_report.txt (94.3 − 88.5)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Selected hyperparameters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136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32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max_depth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31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0.0458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subsample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0.7115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35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0.8119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27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min_child_weight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32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gamma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0.1209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28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reg_alpha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0.8826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reg_lambda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0.8774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Feature importance (gain)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title_encoded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0.3837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39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player_rating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0.3420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Sum of top-2 identity features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≈73% of total gain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Computed: (0.3837 + 0.3420) / sum of all importances; training_report.txt lines 39–53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score_delta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0.0465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41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avg_opponent_rating_so_far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0.0273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42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rating_gap_to_field_avg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0.0238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tournament_avg_rating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0.0195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action_passive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0.0146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46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action_aggressive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0.0116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47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action_solid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0.0113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49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SHAP / direction claims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Direction: passive ↓ Rp, aggressive ↑ Rp after controlling for strength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Qualitative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notebooks/shap_summary.png (Figure 3 in paper) — supported also by the per-action gain ranking (action_passive &gt; aggressive &gt; solid in training_report.txt) and recommender scenarios in final_report.ipynb cell-12 (e.g., S4: action_aggressive shap +45.0)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score_delta is leading dynamic predictor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0.0465 gain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models/training_report.txt, line 41 (top dynamic feature after the two identity features)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Recommender scenarios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Claim in paper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file &amp; location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S4 1600/1900 round 3/9 +2 streak: recommendation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AGGRESSIVE, strong confidence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notebooks/final_report.ipynb cell-12 output ("S4 — 1600 perfect 2/2 ... AGGRESSIVE (1828) ✓")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S4 predicted Rp by action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aggressive 1828, solid 1714, passive 1736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notebooks/final_report.ipynb cell-12 output ("--- S4 ... Aggressive=1828  Solid=1714  Passive=1736")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S3 must-win 2200/2000 final round: recommendation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SOLID, strong confidence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notebooks/final_report.ipynb cell-12 output ("S3 — Must-win ... SOLID (2032)")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S3 dominant SHAP driver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score_delta = −1.56 (shap −161.8)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notebooks/final_report.ipynb cell-12 output ("Recommended SOLID — top 3 drivers: ... score_delta -1.56 (shap -161.8)")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Confidence threshold (strong/marginal)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Δ ≥ 15 Elo points to second-best</w:t>
            </w:r>
          </w:p>
        </w:tc>
        <w:tc>
          <w:tcPr>
            <w:tcW w:type="dxa" w:w="4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src/recommend.py recommend (lines 196–198)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References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48"/>
      </w:tblGrid>
      <w:tr>
        <w:trPr>
          <w:tblHeader/>
        </w:trPr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auto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location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Elo (1978) — Elo rating system foundation</w:t>
            </w:r>
          </w:p>
        </w:tc>
        <w:tc>
          <w:tcPr>
            <w:tcW w:type="dxa" w:w="61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References/1978-elo-theratingofchessplayerspastandpresent.pdf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Hua (2017) — Swiss tournament model</w:t>
            </w:r>
          </w:p>
        </w:tc>
        <w:tc>
          <w:tcPr>
            <w:tcW w:type="dxa" w:w="61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References/The Swiss Tournament Model.pdf, Wharton Research Scholars undergraduate thesis (cover page)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Chen &amp; Guestrin (2016) — XGBoost</w:t>
            </w:r>
          </w:p>
        </w:tc>
        <w:tc>
          <w:tcPr>
            <w:tcW w:type="dxa" w:w="61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References/XGBoost A Scalable Tree Boosting System.pdf, KDD '16 (page 1, header lists authors)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Inkpen et al. (2023) — human–AI complementarity</w:t>
            </w:r>
          </w:p>
        </w:tc>
        <w:tc>
          <w:tcPr>
            <w:tcW w:type="dxa" w:w="61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References/Advancing Human-AI Complementarity.pdf, ACM TOCHI vol. 30 issue 5 article 71, DOI 10.1145/3534561 (page 1 footer)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Samara et al. (2025) — chess-outcome ML</w:t>
            </w:r>
          </w:p>
        </w:tc>
        <w:tc>
          <w:tcPr>
            <w:tcW w:type="dxa" w:w="61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References/Machine Learning Approaches for Classifying Chess Game Outcomes.pdf, Electronics 15(1):1, DOI 10.3390/electronics15010001 (page 1 metadata)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Log</dc:title>
  <dc:creator>Azat</dc:creator>
  <cp:lastModifiedBy>Un-named</cp:lastModifiedBy>
  <cp:revision>1</cp:revision>
  <dcterms:created xsi:type="dcterms:W3CDTF">2026-05-05T11:18:11.254Z</dcterms:created>
  <dcterms:modified xsi:type="dcterms:W3CDTF">2026-05-05T11:18:11.254Z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