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Knochengeschichten – Aktivität 1</w:t>
      </w:r>
    </w:p>
    <w:p>
      <w:pPr>
        <w:pStyle w:val="Heading1"/>
        <w:keepNext/>
        <w:keepLines/>
      </w:pPr>
      <w:r>
        <w:rPr>
          <w:b w:val="0"/>
          <w:i w:val="0"/>
        </w:rPr>
        <w:t>Lösungsschlüssel und Hinweise</w:t>
      </w:r>
      <w:r>
        <w:br/>
      </w:r>
      <w:r>
        <w:rPr>
          <w:b w:val="0"/>
          <w:i w:val="0"/>
        </w:rPr>
        <w:t>Finden Sie den Astragalus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Typ</w:t>
            </w:r>
          </w:p>
          <w:p>
            <w:r>
              <w:rPr>
                <w:b w:val="0"/>
                <w:i w:val="0"/>
              </w:rPr>
              <w:t>Lösungshinweise für Erwachsene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Zielgruppe</w:t>
            </w:r>
          </w:p>
          <w:p>
            <w:r>
              <w:rPr>
                <w:b w:val="0"/>
                <w:i w:val="0"/>
              </w:rPr>
              <w:t>Lehrpersonen und Vermittlung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Nutzung</w:t>
            </w:r>
          </w:p>
          <w:p>
            <w:r>
              <w:rPr>
                <w:b w:val="0"/>
                <w:i w:val="0"/>
              </w:rPr>
              <w:t>Gemeinsame Auswertung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</w:t>
            </w:r>
          </w:p>
          <w:p>
            <w:r>
              <w:rPr>
                <w:b w:val="0"/>
                <w:i w:val="0"/>
              </w:rPr>
              <w:t>Pilot 1.0</w:t>
            </w:r>
          </w:p>
        </w:tc>
      </w:tr>
    </w:tbl>
    <w:p>
      <w:pPr>
        <w:keepLines/>
      </w:pPr>
      <w:r>
        <w:rPr>
          <w:b w:val="0"/>
          <w:i w:val="0"/>
        </w:rPr>
        <w:t>Pilotversion – Inhalte müssen vor der endgültigen Veröffentlichung getestet und Korrektur gelesen werden.</w:t>
      </w:r>
    </w:p>
    <w:p>
      <w:pPr>
        <w:pStyle w:val="Heading2"/>
        <w:keepNext/>
        <w:keepLines/>
      </w:pPr>
      <w:r>
        <w:rPr>
          <w:b w:val="0"/>
          <w:i w:val="0"/>
        </w:rPr>
        <w:t>Orientierungspunkte schnell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Formphase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Erwartete Antwort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Mögliche Antwort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Zu überarbeiten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Beschreiben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Drei beobachtbare Merkmale.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Abgerundete, glatte Flächen, Vertiefungen, Reliefs.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„Es ist ein Fußknochen“ ohne Beschreibung.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Lokalisieren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Tarsusregion, zwischen Bein und Fuß.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„In der Nähe des Knöchels, im Fuß“, wenn gerechtfertigt.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„Im sichtbaren Ferse“ ohne Nuancen.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Begründen Sie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Zwei Hinweise, die mit dem Vorschlag verknüpft sind.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Position und Gelenkflächen.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Nur allgemeine Ähnlichkeit.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Vergleichen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Eine Ähnlichkeit und ein Unterschied.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Vergleichbarer Knochen, unterschiedliche Proportionen.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„Alle Füße sind gleich.“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An Studierende angepasste Formulierungen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Solide Reaktion</w:t>
            </w:r>
          </w:p>
          <w:p>
            <w:pPr>
              <w:keepLines/>
            </w:pPr>
            <w:r>
              <w:rPr>
                <w:b w:val="0"/>
                <w:i w:val="0"/>
              </w:rPr>
              <w:t>„Ich denke, der Knochen befindet sich in der Fußwurzel, weil er zwischen Bein und Fuß liegt und mehrere glatte Oberflächen hat, die mit anderen Knochen artikulieren.“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Vorsichtige Reaktion</w:t>
            </w:r>
          </w:p>
          <w:p>
            <w:pPr>
              <w:keepLines/>
            </w:pPr>
            <w:r>
              <w:rPr>
                <w:b w:val="0"/>
                <w:i w:val="0"/>
              </w:rPr>
              <w:t>„Dieser Bereich ist wahrscheinlich, aber ich würde ihn gerne mit einem vollständigen Skelett vergleichen, um dies zu überprüfen.“ »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Häufige Fehler und Korrekturen</w:t>
      </w:r>
    </w:p>
    <w:p>
      <w:pPr>
        <w:pStyle w:val="ListBullet"/>
        <w:keepNext/>
        <w:keepLines/>
      </w:pPr>
      <w:r>
        <w:rPr>
          <w:b/>
          <w:i w:val="0"/>
        </w:rPr>
        <w:t>Talus = Ferse sichtbar:</w:t>
      </w:r>
      <w:r>
        <w:rPr>
          <w:b w:val="0"/>
          <w:i w:val="0"/>
        </w:rPr>
        <w:t xml:space="preserve"> Denken Sie daran, dass der Talus ein tiefer Fußwurzelknochen ist.</w:t>
      </w:r>
    </w:p>
    <w:p>
      <w:pPr>
        <w:pStyle w:val="ListBullet"/>
        <w:keepNext/>
        <w:keepLines/>
      </w:pPr>
      <w:r>
        <w:rPr>
          <w:b/>
          <w:i w:val="0"/>
        </w:rPr>
        <w:t>Ein Bild genügt:</w:t>
      </w:r>
      <w:r>
        <w:rPr>
          <w:b w:val="0"/>
          <w:i w:val="0"/>
        </w:rPr>
        <w:t xml:space="preserve"> Vergleichen Sie mehrere Ansichten, bevor Sie zum Schluss kommen.</w:t>
      </w:r>
    </w:p>
    <w:p>
      <w:pPr>
        <w:pStyle w:val="ListBullet"/>
        <w:keepNext w:val="0"/>
        <w:keepLines/>
      </w:pPr>
      <w:r>
        <w:rPr>
          <w:b/>
          <w:i w:val="0"/>
        </w:rPr>
        <w:t>Ähnlichkeit = Beweis:</w:t>
      </w:r>
      <w:r>
        <w:rPr>
          <w:b w:val="0"/>
          <w:i w:val="0"/>
        </w:rPr>
        <w:t xml:space="preserve"> Fordern Sie ein zweites Hinweis und eine Referenz an.</w:t>
      </w:r>
    </w:p>
    <w:p>
      <w:pPr>
        <w:pStyle w:val="Heading2"/>
        <w:keepNext/>
        <w:keepLines/>
      </w:pPr>
      <w:r>
        <w:rPr>
          <w:b w:val="0"/>
          <w:i w:val="0"/>
        </w:rPr>
        <w:t>Wissenschaftliche Grenzen</w:t>
      </w:r>
    </w:p>
    <w:p>
      <w:pPr>
        <w:keepLines/>
      </w:pPr>
      <w:r>
        <w:rPr>
          <w:b w:val="0"/>
          <w:i w:val="0"/>
        </w:rPr>
        <w:t>Das Blatt ermöglicht eine einführende anatomische Identifizierung. Es ersetzt weder eine anatomische Ausbildung noch ein osteologisches Referenzkorpus. Das Talus/Astragalus-Vokabular wird bewusst erklärt; Die Terminologie hängt vom anatomischen, historischen oder archäologischen Kontext ab.</w:t>
      </w:r>
    </w:p>
    <w:p>
      <w:pPr>
        <w:keepLines/>
        <w:shd w:fill="F7F4EF"/>
        <w:pBdr>
          <w:left w:val="single" w:sz="18" w:space="8" w:color="9A5B25"/>
        </w:pBdr>
      </w:pPr>
      <w:r>
        <w:rPr>
          <w:b w:val="0"/>
          <w:i w:val="0"/>
        </w:rPr>
        <w:t>Lassen Sie die endgültigen Formulierungen noch einmal lesen, testen Sie das Verständnis der Schüler und bestätigen Sie die Wahl des zukünftigen anatomischen Diagramms des Projekts.</w:t>
      </w:r>
    </w:p>
    <w:p>
      <w:pPr>
        <w:pStyle w:val="ResourceCredit"/>
        <w:spacing w:before="160"/>
      </w:pPr>
      <w:r>
        <w:rPr>
          <w:b/>
        </w:rPr>
        <w:t xml:space="preserve">Nachvollziehbarkeit : </w:t>
      </w:r>
      <w:hyperlink r:id="rId11">
        <w:r>
          <w:rPr>
            <w:color w:val="9A5B25"/>
            <w:u w:val="single"/>
          </w:rPr>
          <w:t>https://histoire-d-os.github.io/Histoire-d-os/de/ressources/activite-01-trouver-astragale.html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Pilotversion · Seite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9A5B2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9A5B2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istoire-d-os.github.io/Histoire-d-os/de/ressources/activite-01-trouver-astraga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Aktivität 01 - Lösungshinweise (DE)</dc:title>
  <dc:subject>Pädagogische Pilotressource zum Talus/Astragalus</dc:subject>
  <dc:creator>Histoires d'os</dc:creator>
  <cp:keywords>Histoires d'os, talus, astragale, de, Aktivität 01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