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Knochengeschichten – Aktivität 4</w:t>
      </w:r>
    </w:p>
    <w:p>
      <w:pPr>
        <w:pStyle w:val="Heading1"/>
        <w:keepNext/>
        <w:keepLines/>
      </w:pPr>
      <w:r>
        <w:rPr>
          <w:b w:val="0"/>
          <w:i w:val="0"/>
        </w:rPr>
        <w:t>Methodenkorrektur</w:t>
      </w:r>
      <w:r>
        <w:br/>
      </w:r>
      <w:r>
        <w:rPr>
          <w:b w:val="0"/>
          <w:i w:val="0"/>
        </w:rPr>
        <w:t>Ein Knochen, viele Leben</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Lösungshinweise für Erwachsene</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Lehrpersonen und Vermittlung</w:t>
            </w:r>
          </w:p>
        </w:tc>
        <w:tc>
          <w:tcPr>
            <w:tcW w:type="dxa" w:w="2579"/>
            <w:shd w:fill="F0F1EE"/>
            <w:tcMar>
              <w:top w:w="90" w:type="dxa"/>
              <w:start w:w="120" w:type="dxa"/>
              <w:bottom w:w="90" w:type="dxa"/>
              <w:end w:w="120" w:type="dxa"/>
            </w:tcMar>
          </w:tcPr>
          <w:p>
            <w:pPr>
              <w:pStyle w:val="ResourceCredit"/>
            </w:pPr>
            <w:r>
              <w:rPr>
                <w:b/>
                <w:i w:val="0"/>
              </w:rPr>
              <w:t>Nutzung</w:t>
            </w:r>
          </w:p>
          <w:p>
            <w:r>
              <w:rPr>
                <w:b w:val="0"/>
                <w:i w:val="0"/>
              </w:rPr>
              <w:t>Auswertung im Plenum</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Begründungskorrektur – in dieser Version sind keine Funktionen A bis E definiert.</w:t>
      </w:r>
    </w:p>
    <w:p>
      <w:pPr>
        <w:pStyle w:val="Heading2"/>
        <w:keepNext/>
        <w:keepLines/>
      </w:pPr>
      <w:r>
        <w:rPr>
          <w:b w:val="0"/>
          <w:i w:val="0"/>
        </w:rPr>
        <w:t>Korrekturgitter</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Schritt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Erwartet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Akzeptables Beispiel</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Zu überarbeiten</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Beobachtung</w:t>
            </w:r>
          </w:p>
        </w:tc>
        <w:tc>
          <w:tcPr>
            <w:tcW w:type="dxa" w:w="2889"/>
            <w:vAlign w:val="center"/>
            <w:tcMar>
              <w:top w:w="90" w:type="dxa"/>
              <w:start w:w="120" w:type="dxa"/>
              <w:bottom w:w="90" w:type="dxa"/>
              <w:end w:w="120" w:type="dxa"/>
            </w:tcMar>
          </w:tcPr>
          <w:p>
            <w:pPr>
              <w:keepNext/>
              <w:keepLines/>
              <w:spacing w:after="40" w:line="252" w:lineRule="auto"/>
            </w:pPr>
            <w:r>
              <w:rPr>
                <w:b w:val="0"/>
                <w:i w:val="0"/>
              </w:rPr>
              <w:t>Sichtbare oder messbare Merkmale.</w:t>
            </w:r>
          </w:p>
        </w:tc>
        <w:tc>
          <w:tcPr>
            <w:tcW w:type="dxa" w:w="2889"/>
            <w:vAlign w:val="center"/>
            <w:tcMar>
              <w:top w:w="90" w:type="dxa"/>
              <w:start w:w="120" w:type="dxa"/>
              <w:bottom w:w="90" w:type="dxa"/>
              <w:end w:w="120" w:type="dxa"/>
            </w:tcMar>
          </w:tcPr>
          <w:p>
            <w:pPr>
              <w:keepNext/>
              <w:keepLines/>
              <w:spacing w:after="40" w:line="252" w:lineRule="auto"/>
            </w:pPr>
            <w:r>
              <w:rPr>
                <w:b w:val="0"/>
                <w:i w:val="0"/>
              </w:rPr>
              <w:t>„Einseitig polierte Oberfläche“.</w:t>
            </w:r>
          </w:p>
        </w:tc>
        <w:tc>
          <w:tcPr>
            <w:tcW w:type="dxa" w:w="2683"/>
            <w:vAlign w:val="center"/>
            <w:tcMar>
              <w:top w:w="90" w:type="dxa"/>
              <w:start w:w="120" w:type="dxa"/>
              <w:bottom w:w="90" w:type="dxa"/>
              <w:end w:w="120" w:type="dxa"/>
            </w:tcMar>
          </w:tcPr>
          <w:p>
            <w:pPr>
              <w:keepNext/>
              <w:keepLines/>
              <w:spacing w:after="40" w:line="252" w:lineRule="auto"/>
            </w:pPr>
            <w:r>
              <w:rPr>
                <w:b w:val="0"/>
                <w:i w:val="0"/>
              </w:rPr>
              <w:t>„Spielobjekt“.</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Hypothese</w:t>
            </w:r>
          </w:p>
        </w:tc>
        <w:tc>
          <w:tcPr>
            <w:tcW w:type="dxa" w:w="2889"/>
            <w:vAlign w:val="center"/>
            <w:tcMar>
              <w:top w:w="90" w:type="dxa"/>
              <w:start w:w="120" w:type="dxa"/>
              <w:bottom w:w="90" w:type="dxa"/>
              <w:end w:w="120" w:type="dxa"/>
            </w:tcMar>
          </w:tcPr>
          <w:p>
            <w:pPr>
              <w:keepNext/>
              <w:keepLines/>
              <w:spacing w:after="40" w:line="252" w:lineRule="auto"/>
            </w:pPr>
            <w:r>
              <w:rPr>
                <w:b w:val="0"/>
                <w:i w:val="0"/>
              </w:rPr>
              <w:t>Mindestens zwei verschiedene Möglichkeiten.</w:t>
            </w:r>
          </w:p>
        </w:tc>
        <w:tc>
          <w:tcPr>
            <w:tcW w:type="dxa" w:w="2889"/>
            <w:vAlign w:val="center"/>
            <w:tcMar>
              <w:top w:w="90" w:type="dxa"/>
              <w:start w:w="120" w:type="dxa"/>
              <w:bottom w:w="90" w:type="dxa"/>
              <w:end w:w="120" w:type="dxa"/>
            </w:tcMar>
          </w:tcPr>
          <w:p>
            <w:pPr>
              <w:keepNext/>
              <w:keepLines/>
              <w:spacing w:after="40" w:line="252" w:lineRule="auto"/>
            </w:pPr>
            <w:r>
              <w:rPr>
                <w:b w:val="0"/>
                <w:i w:val="0"/>
              </w:rPr>
              <w:t>Verschleiß im Zusammenhang mit Gebrauch oder natürlicher Veränderung.</w:t>
            </w:r>
          </w:p>
        </w:tc>
        <w:tc>
          <w:tcPr>
            <w:tcW w:type="dxa" w:w="2683"/>
            <w:vAlign w:val="center"/>
            <w:tcMar>
              <w:top w:w="90" w:type="dxa"/>
              <w:start w:w="120" w:type="dxa"/>
              <w:bottom w:w="90" w:type="dxa"/>
              <w:end w:w="120" w:type="dxa"/>
            </w:tcMar>
          </w:tcPr>
          <w:p>
            <w:pPr>
              <w:keepNext/>
              <w:keepLines/>
              <w:spacing w:after="40" w:line="252" w:lineRule="auto"/>
            </w:pPr>
            <w:r>
              <w:rPr>
                <w:b w:val="0"/>
                <w:i w:val="0"/>
              </w:rPr>
              <w:t>Nur eine bestimmte Funktion.</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Interpretation</w:t>
            </w:r>
          </w:p>
        </w:tc>
        <w:tc>
          <w:tcPr>
            <w:tcW w:type="dxa" w:w="2889"/>
            <w:vAlign w:val="center"/>
            <w:tcMar>
              <w:top w:w="90" w:type="dxa"/>
              <w:start w:w="120" w:type="dxa"/>
              <w:bottom w:w="90" w:type="dxa"/>
              <w:end w:w="120" w:type="dxa"/>
            </w:tcMar>
          </w:tcPr>
          <w:p>
            <w:pPr>
              <w:keepNext/>
              <w:keepLines/>
              <w:spacing w:after="40" w:line="252" w:lineRule="auto"/>
            </w:pPr>
            <w:r>
              <w:rPr>
                <w:b w:val="0"/>
                <w:i w:val="0"/>
              </w:rPr>
              <w:t>Hinweise verknüpft mit jedem Vorschlag.</w:t>
            </w:r>
          </w:p>
        </w:tc>
        <w:tc>
          <w:tcPr>
            <w:tcW w:type="dxa" w:w="2889"/>
            <w:vAlign w:val="center"/>
            <w:tcMar>
              <w:top w:w="90" w:type="dxa"/>
              <w:start w:w="120" w:type="dxa"/>
              <w:bottom w:w="90" w:type="dxa"/>
              <w:end w:w="120" w:type="dxa"/>
            </w:tcMar>
          </w:tcPr>
          <w:p>
            <w:pPr>
              <w:keepNext/>
              <w:keepLines/>
              <w:spacing w:after="40" w:line="252" w:lineRule="auto"/>
            </w:pPr>
            <w:r>
              <w:rPr>
                <w:b w:val="0"/>
                <w:i w:val="0"/>
              </w:rPr>
              <w:t>Form, Spuren, Material und Vergleich.</w:t>
            </w:r>
          </w:p>
        </w:tc>
        <w:tc>
          <w:tcPr>
            <w:tcW w:type="dxa" w:w="2683"/>
            <w:vAlign w:val="center"/>
            <w:tcMar>
              <w:top w:w="90" w:type="dxa"/>
              <w:start w:w="120" w:type="dxa"/>
              <w:bottom w:w="90" w:type="dxa"/>
              <w:end w:w="120" w:type="dxa"/>
            </w:tcMar>
          </w:tcPr>
          <w:p>
            <w:pPr>
              <w:keepNext/>
              <w:keepLines/>
              <w:spacing w:after="40" w:line="252" w:lineRule="auto"/>
            </w:pPr>
            <w:r>
              <w:rPr>
                <w:b w:val="0"/>
                <w:i w:val="0"/>
              </w:rPr>
              <w:t>Nur Ähnlichkeit.</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Überprüfung</w:t>
            </w:r>
          </w:p>
        </w:tc>
        <w:tc>
          <w:tcPr>
            <w:tcW w:type="dxa" w:w="2889"/>
            <w:vAlign w:val="center"/>
            <w:tcMar>
              <w:top w:w="90" w:type="dxa"/>
              <w:start w:w="120" w:type="dxa"/>
              <w:bottom w:w="90" w:type="dxa"/>
              <w:end w:w="120" w:type="dxa"/>
            </w:tcMar>
          </w:tcPr>
          <w:p>
            <w:pPr>
              <w:keepNext/>
              <w:keepLines/>
              <w:spacing w:after="40" w:line="252" w:lineRule="auto"/>
            </w:pPr>
            <w:r>
              <w:rPr>
                <w:b w:val="0"/>
                <w:i w:val="0"/>
              </w:rPr>
              <w:t>Daten, die zwischen den Leads entscheiden können.</w:t>
            </w:r>
          </w:p>
        </w:tc>
        <w:tc>
          <w:tcPr>
            <w:tcW w:type="dxa" w:w="2889"/>
            <w:vAlign w:val="center"/>
            <w:tcMar>
              <w:top w:w="90" w:type="dxa"/>
              <w:start w:w="120" w:type="dxa"/>
              <w:bottom w:w="90" w:type="dxa"/>
              <w:end w:w="120" w:type="dxa"/>
            </w:tcMar>
          </w:tcPr>
          <w:p>
            <w:pPr>
              <w:keepNext/>
              <w:keepLines/>
              <w:spacing w:after="40" w:line="252" w:lineRule="auto"/>
            </w:pPr>
            <w:r>
              <w:rPr>
                <w:b w:val="0"/>
                <w:i w:val="0"/>
              </w:rPr>
              <w:t>Kontext, Analyse, Messung, Referenz.</w:t>
            </w:r>
          </w:p>
        </w:tc>
        <w:tc>
          <w:tcPr>
            <w:tcW w:type="dxa" w:w="2683"/>
            <w:vAlign w:val="center"/>
            <w:tcMar>
              <w:top w:w="90" w:type="dxa"/>
              <w:start w:w="120" w:type="dxa"/>
              <w:bottom w:w="90" w:type="dxa"/>
              <w:end w:w="120" w:type="dxa"/>
            </w:tcMar>
          </w:tcPr>
          <w:p>
            <w:pPr>
              <w:keepNext/>
              <w:keepLines/>
              <w:spacing w:after="40" w:line="252" w:lineRule="auto"/>
            </w:pPr>
            <w:r>
              <w:rPr>
                <w:b w:val="0"/>
                <w:i w:val="0"/>
              </w:rPr>
              <w:t>Neue Vermutung.</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Fazit</w:t>
            </w:r>
          </w:p>
        </w:tc>
        <w:tc>
          <w:tcPr>
            <w:tcW w:type="dxa" w:w="2889"/>
            <w:vAlign w:val="center"/>
            <w:tcMar>
              <w:top w:w="90" w:type="dxa"/>
              <w:start w:w="120" w:type="dxa"/>
              <w:bottom w:w="90" w:type="dxa"/>
              <w:end w:w="120" w:type="dxa"/>
            </w:tcMar>
          </w:tcPr>
          <w:p>
            <w:pPr>
              <w:keepNext/>
              <w:keepLines/>
              <w:spacing w:after="40" w:line="252" w:lineRule="auto"/>
            </w:pPr>
            <w:r>
              <w:rPr>
                <w:b w:val="0"/>
                <w:i w:val="0"/>
              </w:rPr>
              <w:t>Etabliert, plausibel und unbekannt unterschieden.</w:t>
            </w:r>
          </w:p>
        </w:tc>
        <w:tc>
          <w:tcPr>
            <w:tcW w:type="dxa" w:w="2889"/>
            <w:vAlign w:val="center"/>
            <w:tcMar>
              <w:top w:w="90" w:type="dxa"/>
              <w:start w:w="120" w:type="dxa"/>
              <w:bottom w:w="90" w:type="dxa"/>
              <w:end w:w="120" w:type="dxa"/>
            </w:tcMar>
          </w:tcPr>
          <w:p>
            <w:pPr>
              <w:keepNext/>
              <w:keepLines/>
              <w:spacing w:after="40" w:line="252" w:lineRule="auto"/>
            </w:pPr>
            <w:r>
              <w:rPr>
                <w:b w:val="0"/>
                <w:i w:val="0"/>
              </w:rPr>
              <w:t>Der Vorschlag bleibt revidierbar.</w:t>
            </w:r>
          </w:p>
        </w:tc>
        <w:tc>
          <w:tcPr>
            <w:tcW w:type="dxa" w:w="2683"/>
            <w:vAlign w:val="center"/>
            <w:tcMar>
              <w:top w:w="90" w:type="dxa"/>
              <w:start w:w="120" w:type="dxa"/>
              <w:bottom w:w="90" w:type="dxa"/>
              <w:end w:w="120" w:type="dxa"/>
            </w:tcMar>
          </w:tcPr>
          <w:p>
            <w:pPr>
              <w:keepLines/>
              <w:spacing w:after="40" w:line="252" w:lineRule="auto"/>
            </w:pPr>
            <w:r>
              <w:rPr>
                <w:b w:val="0"/>
                <w:i w:val="0"/>
              </w:rPr>
              <w:t>Der Zweifel ist ausgelöscht.</w:t>
            </w:r>
          </w:p>
        </w:tc>
      </w:tr>
    </w:tbl>
    <w:p>
      <w:pPr>
        <w:spacing w:after="0"/>
      </w:pPr>
    </w:p>
    <w:p>
      <w:pPr>
        <w:pStyle w:val="Heading2"/>
        <w:keepNext/>
        <w:keepLines/>
      </w:pPr>
      <w:r>
        <w:rPr>
          <w:b w:val="0"/>
          <w:i w:val="0"/>
        </w:rPr>
        <w:t>Nützliche Erinnerungen</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Wenn eine Idee zu schnell kommt</w:t>
            </w:r>
          </w:p>
          <w:p>
            <w:pPr>
              <w:keepLines/>
            </w:pPr>
            <w:r>
              <w:rPr>
                <w:b w:val="0"/>
                <w:i w:val="0"/>
              </w:rPr>
              <w:t>„Was genau hast du gesehen?“ Können Sie denselben Satz schreiben, ohne die Funktion zu benennen? »</w:t>
            </w:r>
          </w:p>
        </w:tc>
        <w:tc>
          <w:tcPr>
            <w:tcW w:type="dxa" w:w="5159"/>
            <w:vAlign w:val="top"/>
            <w:shd w:fill="F7F4EF"/>
            <w:tcMar>
              <w:top w:w="90" w:type="dxa"/>
              <w:start w:w="120" w:type="dxa"/>
              <w:bottom w:w="90" w:type="dxa"/>
              <w:end w:w="120" w:type="dxa"/>
            </w:tcMar>
          </w:tcPr>
          <w:p>
            <w:pPr>
              <w:pStyle w:val="Heading3"/>
              <w:keepLines/>
            </w:pPr>
            <w:r>
              <w:rPr>
                <w:b w:val="0"/>
                <w:i w:val="0"/>
              </w:rPr>
              <w:t>Wenn die Gruppe stecken bleibt</w:t>
            </w:r>
          </w:p>
          <w:p>
            <w:pPr>
              <w:keepLines/>
            </w:pPr>
            <w:r>
              <w:rPr>
                <w:b w:val="0"/>
                <w:i w:val="0"/>
              </w:rPr>
              <w:t>„Welche andere Geschichte würde dieselbe Spur erklären? Welche Informationen würden uns eine Auswahl ermöglichen? »</w:t>
            </w:r>
          </w:p>
        </w:tc>
      </w:tr>
    </w:tbl>
    <w:p>
      <w:pPr>
        <w:spacing w:after="0"/>
      </w:pPr>
    </w:p>
    <w:p>
      <w:pPr>
        <w:pStyle w:val="Heading2"/>
        <w:keepNext/>
        <w:keepLines/>
      </w:pPr>
      <w:r>
        <w:rPr>
          <w:b w:val="0"/>
          <w:i w:val="0"/>
        </w:rPr>
        <w:t>Was die Korrektur nicht enthält</w:t>
      </w:r>
    </w:p>
    <w:p>
      <w:pPr>
        <w:keepLines/>
      </w:pPr>
      <w:r>
        <w:rPr>
          <w:b w:val="0"/>
          <w:i w:val="0"/>
        </w:rPr>
        <w:t>Es gibt keine „A = Spiel, B = Weissagung…“-Tabelle: Die Objekte wurden noch nicht ausgewählt oder validiert. Selbst mit einem endgültigen Korpus bleiben bestimmte Funktionen möglicherweise umstritten. Der Antwortschlüssel sollte den Hinweise, die Quellen und den Grad der Konfidenz darstellen und keine vereinfachte Antwort sein.</w:t>
      </w:r>
    </w:p>
    <w:p>
      <w:pPr>
        <w:pStyle w:val="Heading2"/>
        <w:keepNext/>
        <w:keepLines/>
      </w:pPr>
      <w:r>
        <w:rPr>
          <w:b w:val="0"/>
          <w:i w:val="0"/>
        </w:rPr>
        <w:t>Digitale Erweiterung</w:t>
      </w:r>
    </w:p>
    <w:p>
      <w:pPr>
        <w:keepLines/>
      </w:pPr>
      <w:r>
        <w:rPr>
          <w:b w:val="0"/>
          <w:i w:val="0"/>
        </w:rPr>
        <w:t>Das Spiel „Coding with the knucklebone“ kann die Diskussion über den zeitgenössischen technischen Einsatz erweitern. Es muss als moderne Bildungsschöpfung präsentiert werden, nicht als Rekonstruktion einer dokumentierten alten Praxis.</w:t>
      </w:r>
    </w:p>
    <w:p>
      <w:pPr>
        <w:keepLines/>
        <w:shd w:fill="F7F4EF"/>
        <w:pBdr>
          <w:left w:val="single" w:sz="18" w:space="8" w:color="315F79"/>
        </w:pBdr>
      </w:pPr>
      <w:r>
        <w:rPr>
          <w:b w:val="0"/>
          <w:i w:val="0"/>
        </w:rPr>
        <w:t>Führen Sie diese Korrektur erst nach der Validierung der Objekte, Hinweise, Rechte und Interpretationen durch die wissenschaftlichen und Museumsmanager durch.</w:t>
      </w:r>
    </w:p>
    <w:p>
      <w:pPr>
        <w:pStyle w:val="ResourceCredit"/>
        <w:spacing w:before="160"/>
      </w:pPr>
      <w:r>
        <w:rPr>
          <w:b/>
        </w:rPr>
        <w:t xml:space="preserve">Nachvollziehbarkeit : </w:t>
      </w:r>
      <w:hyperlink r:id="rId11">
        <w:r>
          <w:rPr>
            <w:color w:val="315F79"/>
            <w:u w:val="single"/>
          </w:rPr>
          <w:t>https://histoire-d-os.github.io/Histoire-d-os/de/ressources/activite-04-un-os-plusieurs-vies.html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Pilotversion · Seite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315F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315F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de/ressources/activite-04-un-os-plusieurs-v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Aktivität 04 - Lösungshinweise (DE)</dc:title>
  <dc:subject>Pädagogische Pilotressource zum Talus/Astragalus</dc:subject>
  <dc:creator>Histoires d'os</dc:creator>
  <cp:keywords>Histoires d'os, talus, astragale, de, Aktivität 04</cp:keywords>
  <dc:description>generated by python-docx</dc:description>
  <cp:lastModifiedBy/>
  <cp:revision>1</cp:revision>
  <dcterms:created xsi:type="dcterms:W3CDTF">2013-12-23T23:15:00Z</dcterms:created>
  <dcterms:modified xsi:type="dcterms:W3CDTF">2013-12-23T23:15:00Z</dcterms:modified>
  <cp:category/>
</cp:coreProperties>
</file>