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Aktivität 4</w:t>
      </w:r>
    </w:p>
    <w:p>
      <w:pPr>
        <w:pStyle w:val="Heading1"/>
        <w:keepNext/>
        <w:keepLines/>
      </w:pPr>
      <w:r>
        <w:rPr>
          <w:b w:val="0"/>
          <w:i w:val="0"/>
        </w:rPr>
        <w:t>Leitfaden</w:t>
      </w:r>
      <w:r>
        <w:br/>
      </w:r>
      <w:r>
        <w:rPr>
          <w:b w:val="0"/>
          <w:i w:val="0"/>
        </w:rPr>
        <w:t>Ein Knochen, viele Leben</w:t>
      </w:r>
    </w:p>
    <w:p>
      <w:pPr>
        <w:keepLines/>
      </w:pPr>
      <w:r>
        <w:rPr>
          <w:b w:val="0"/>
          <w:i w:val="0"/>
        </w:rPr>
        <w:t>Leitfaden zur Durchführung einer Untersuchung der Einsatzmöglichkeiten eines Objekts, ohne eine definitive Funktion bekannt zu geben.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Leitfaden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Begleitung durch Erwachsene</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45-75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Vorsichtiger Prototyp – die Objekte A bis E und ihre Anweisungen müssen noch integriert werden.</w:t>
      </w:r>
    </w:p>
    <w:p>
      <w:pPr>
        <w:pStyle w:val="Heading2"/>
        <w:keepNext/>
        <w:keepLines/>
      </w:pPr>
      <w:r>
        <w:rPr>
          <w:b w:val="0"/>
          <w:i w:val="0"/>
        </w:rPr>
        <w:t>1. Kurz gesagt</w:t>
      </w:r>
    </w:p>
    <w:p>
      <w:pPr>
        <w:keepLines/>
      </w:pPr>
      <w:r>
        <w:rPr>
          <w:b w:val="0"/>
          <w:i w:val="0"/>
        </w:rPr>
        <w:t>Die Schüler beschreiben ein Objekt, ohne ihm eine Verwendung zuzuschreiben, formulieren mindestens zwei Hypothesen, wählen die Hinweise aus, die sie unterstützen, und listen dann die Informationen auf, die für die Entscheidung zwischen ihnen erforderlich sind. Die Karten A bis E sind Vorlagen: Die Aktivität wird nach dem Hinzufügen eines validierten Korpus vollständig nutzbar.</w:t>
      </w:r>
    </w:p>
    <w:p>
      <w:pPr>
        <w:pStyle w:val="Heading2"/>
        <w:keepNext/>
        <w:keepLines/>
      </w:pPr>
      <w:r>
        <w:rPr>
          <w:b w:val="0"/>
          <w:i w:val="0"/>
        </w:rPr>
        <w:t>2. Ziele</w:t>
      </w:r>
    </w:p>
    <w:p>
      <w:pPr>
        <w:pStyle w:val="ListBullet"/>
        <w:keepNext/>
        <w:keepLines/>
      </w:pPr>
      <w:r>
        <w:rPr>
          <w:b w:val="0"/>
          <w:i w:val="0"/>
        </w:rPr>
        <w:t>Unterscheiden Sie zwischen Beobachtung, Hypothese, Interpretation und Überprüfung.</w:t>
      </w:r>
    </w:p>
    <w:p>
      <w:pPr>
        <w:pStyle w:val="ListBullet"/>
        <w:keepNext/>
        <w:keepLines/>
      </w:pPr>
      <w:r>
        <w:rPr>
          <w:b w:val="0"/>
          <w:i w:val="0"/>
        </w:rPr>
        <w:t>Beschreiben Sie Material, Form, Abmessungen und sichtbare Spuren.</w:t>
      </w:r>
    </w:p>
    <w:p>
      <w:pPr>
        <w:pStyle w:val="ListBullet"/>
        <w:keepNext/>
        <w:keepLines/>
      </w:pPr>
      <w:r>
        <w:rPr>
          <w:b w:val="0"/>
          <w:i w:val="0"/>
        </w:rPr>
        <w:t>Schlagen Sie mehrere mögliche Verwendungen von Hinweise vor.</w:t>
      </w:r>
    </w:p>
    <w:p>
      <w:pPr>
        <w:pStyle w:val="ListBullet"/>
        <w:keepNext w:val="0"/>
        <w:keepLines/>
      </w:pPr>
      <w:r>
        <w:rPr>
          <w:b w:val="0"/>
          <w:i w:val="0"/>
        </w:rPr>
        <w:t>Verstehen Sie die Rolle des archäologischen und dokumentarischen Kontexts.</w:t>
      </w:r>
    </w:p>
    <w:p>
      <w:pPr>
        <w:pStyle w:val="Heading2"/>
        <w:keepNext/>
        <w:keepLines/>
      </w:pPr>
      <w:r>
        <w:rPr>
          <w:b w:val="0"/>
          <w:i w:val="0"/>
        </w:rPr>
        <w:t>3. Erwarteter Erfolg</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Erfolgreich</w:t>
            </w:r>
          </w:p>
          <w:p>
            <w:pPr>
              <w:keepLines/>
            </w:pPr>
            <w:r>
              <w:rPr>
                <w:b w:val="0"/>
                <w:i w:val="0"/>
              </w:rPr>
              <w:t>Zwei Hypothesen sind mit Hinweise und Mitteln zur Verifizierung verknüpft.</w:t>
            </w:r>
          </w:p>
        </w:tc>
        <w:tc>
          <w:tcPr>
            <w:tcW w:type="dxa" w:w="3439"/>
            <w:vAlign w:val="top"/>
            <w:shd w:fill="F7F4EF"/>
            <w:tcMar>
              <w:top w:w="90" w:type="dxa"/>
              <w:start w:w="120" w:type="dxa"/>
              <w:bottom w:w="90" w:type="dxa"/>
              <w:end w:w="120" w:type="dxa"/>
            </w:tcMar>
          </w:tcPr>
          <w:p>
            <w:pPr>
              <w:pStyle w:val="Heading3"/>
              <w:keepLines/>
            </w:pPr>
            <w:r>
              <w:rPr>
                <w:b w:val="0"/>
                <w:i w:val="0"/>
              </w:rPr>
              <w:t>Teilweise erreicht</w:t>
            </w:r>
          </w:p>
          <w:p>
            <w:pPr>
              <w:keepLines/>
            </w:pPr>
            <w:r>
              <w:rPr>
                <w:b w:val="0"/>
                <w:i w:val="0"/>
              </w:rPr>
              <w:t>Die Hypothesen sind unterschiedlich, aber die Hinweise bleiben ungenau.</w:t>
            </w:r>
          </w:p>
        </w:tc>
        <w:tc>
          <w:tcPr>
            <w:tcW w:type="dxa" w:w="3440"/>
            <w:vAlign w:val="top"/>
            <w:shd w:fill="F7F4EF"/>
            <w:tcMar>
              <w:top w:w="90" w:type="dxa"/>
              <w:start w:w="120" w:type="dxa"/>
              <w:bottom w:w="90" w:type="dxa"/>
              <w:end w:w="120" w:type="dxa"/>
            </w:tcMar>
          </w:tcPr>
          <w:p>
            <w:pPr>
              <w:pStyle w:val="Heading3"/>
              <w:keepLines/>
            </w:pPr>
            <w:r>
              <w:rPr>
                <w:b w:val="0"/>
                <w:i w:val="0"/>
              </w:rPr>
              <w:t>Zu überarbeiten</w:t>
            </w:r>
          </w:p>
          <w:p>
            <w:pPr>
              <w:keepLines/>
            </w:pPr>
            <w:r>
              <w:rPr>
                <w:b w:val="0"/>
                <w:i w:val="0"/>
              </w:rPr>
              <w:t>Die Funktion wird von der ersten Beobachtung an als sicher angekündigt.</w:t>
            </w:r>
          </w:p>
        </w:tc>
      </w:tr>
    </w:tbl>
    <w:p>
      <w:pPr>
        <w:spacing w:after="0"/>
      </w:pPr>
    </w:p>
    <w:p>
      <w:pPr>
        <w:pStyle w:val="Heading2"/>
        <w:keepNext/>
        <w:keepLines/>
      </w:pPr>
      <w:r>
        <w:rPr>
          <w:b w:val="0"/>
          <w:i w:val="0"/>
        </w:rPr>
        <w:t>4. Dauer und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Dauer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45-75 Min</w:t>
            </w:r>
          </w:p>
        </w:tc>
        <w:tc>
          <w:tcPr>
            <w:tcW w:type="dxa" w:w="3921"/>
            <w:vAlign w:val="center"/>
            <w:tcMar>
              <w:top w:w="90" w:type="dxa"/>
              <w:start w:w="120" w:type="dxa"/>
              <w:bottom w:w="90" w:type="dxa"/>
              <w:end w:w="120" w:type="dxa"/>
            </w:tcMar>
          </w:tcPr>
          <w:p>
            <w:pPr>
              <w:keepNext/>
              <w:keepLines/>
              <w:spacing w:after="40" w:line="252" w:lineRule="auto"/>
            </w:pPr>
            <w:r>
              <w:rPr>
                <w:b w:val="0"/>
                <w:i w:val="0"/>
              </w:rPr>
              <w:t>Blatt, A-E-Karten, Fotos oder validierte Repliken.</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30-60 Min</w:t>
            </w:r>
          </w:p>
        </w:tc>
        <w:tc>
          <w:tcPr>
            <w:tcW w:type="dxa" w:w="3921"/>
            <w:vAlign w:val="center"/>
            <w:tcMar>
              <w:top w:w="90" w:type="dxa"/>
              <w:start w:w="120" w:type="dxa"/>
              <w:bottom w:w="90" w:type="dxa"/>
              <w:end w:w="120" w:type="dxa"/>
            </w:tcMar>
          </w:tcPr>
          <w:p>
            <w:pPr>
              <w:keepLines/>
              <w:spacing w:after="40" w:line="252" w:lineRule="auto"/>
            </w:pPr>
            <w:r>
              <w:rPr>
                <w:b w:val="0"/>
                <w:i w:val="0"/>
              </w:rPr>
              <w:t>Ausstellungsobjekt, Reproduktion oder manipulierbares Objekt zulässig.</w:t>
            </w:r>
          </w:p>
        </w:tc>
      </w:tr>
    </w:tbl>
    <w:p>
      <w:pPr>
        <w:spacing w:after="0"/>
      </w:pPr>
    </w:p>
    <w:p>
      <w:pPr>
        <w:pStyle w:val="Heading2"/>
        <w:keepNext/>
        <w:keepLines/>
      </w:pPr>
      <w:r>
        <w:rPr>
          <w:b w:val="0"/>
          <w:i w:val="0"/>
        </w:rPr>
        <w:t>5. Schnelle Vorbereitung</w:t>
      </w:r>
    </w:p>
    <w:p>
      <w:pPr>
        <w:keepLines/>
        <w:shd w:fill="F7F4EF"/>
        <w:pBdr>
          <w:left w:val="single" w:sz="18" w:space="8" w:color="315F79"/>
        </w:pBdr>
      </w:pPr>
      <w:r>
        <w:rPr>
          <w:b w:val="0"/>
          <w:i w:val="0"/>
        </w:rPr>
        <w:t>Wählen Sie ein bis fünf dokumentierte Objekte aus. Vervollständigen Sie die Karten, ohne eine Funktion als Titel zu schreiben. Halten Sie Kontextdaten bis zur Überprüfungsphase verborgen. Passen Sie das Protokoll an die Regeln der Institution an.</w:t>
      </w:r>
    </w:p>
    <w:p>
      <w:pPr>
        <w:keepLines/>
        <w:shd w:fill="F7F4EF"/>
        <w:pBdr>
          <w:left w:val="single" w:sz="18" w:space="8" w:color="315F79"/>
        </w:pBdr>
      </w:pPr>
      <w:r>
        <w:rPr>
          <w:b w:val="0"/>
          <w:i w:val="0"/>
        </w:rPr>
        <w:t>„Beginnen Sie mit dem Sichtbaren. Eine Hypothese ist ein zu prüfender Vorschlag, keine bestimmte Antwort.“</w:t>
      </w:r>
    </w:p>
    <w:p>
      <w:pPr>
        <w:pStyle w:val="Heading2"/>
        <w:keepNext/>
        <w:keepLines/>
      </w:pPr>
      <w:r>
        <w:rPr>
          <w:b w:val="0"/>
          <w:i w:val="0"/>
        </w:rPr>
        <w:t>6. Detaillierte Vorgehensweise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Zeit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für Erwachsene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der Lernenden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Zweck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Präsentieren Sie das Objekt ohne Funktion.</w:t>
            </w:r>
          </w:p>
        </w:tc>
        <w:tc>
          <w:tcPr>
            <w:tcW w:type="dxa" w:w="2889"/>
            <w:vAlign w:val="center"/>
            <w:tcMar>
              <w:top w:w="90" w:type="dxa"/>
              <w:start w:w="120" w:type="dxa"/>
              <w:bottom w:w="90" w:type="dxa"/>
              <w:end w:w="120" w:type="dxa"/>
            </w:tcMar>
          </w:tcPr>
          <w:p>
            <w:pPr>
              <w:keepNext/>
              <w:keepLines/>
              <w:spacing w:after="40" w:line="252" w:lineRule="auto"/>
            </w:pPr>
            <w:r>
              <w:rPr>
                <w:b w:val="0"/>
                <w:i w:val="0"/>
              </w:rPr>
              <w:t>Schreiben Sie einen ersten Eindruck.</w:t>
            </w:r>
          </w:p>
        </w:tc>
        <w:tc>
          <w:tcPr>
            <w:tcW w:type="dxa" w:w="2683"/>
            <w:vAlign w:val="center"/>
            <w:tcMar>
              <w:top w:w="90" w:type="dxa"/>
              <w:start w:w="120" w:type="dxa"/>
              <w:bottom w:w="90" w:type="dxa"/>
              <w:end w:w="120" w:type="dxa"/>
            </w:tcMar>
          </w:tcPr>
          <w:p>
            <w:pPr>
              <w:keepNext/>
              <w:keepLines/>
              <w:spacing w:after="40" w:line="252" w:lineRule="auto"/>
            </w:pPr>
            <w:r>
              <w:rPr>
                <w:b w:val="0"/>
                <w:i w:val="0"/>
              </w:rPr>
              <w:t>Bringen Sie erste Ideen zum Vorschein.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Gebräuchliche Wörter vorübergehend verbieten.</w:t>
            </w:r>
          </w:p>
        </w:tc>
        <w:tc>
          <w:tcPr>
            <w:tcW w:type="dxa" w:w="2889"/>
            <w:vAlign w:val="center"/>
            <w:tcMar>
              <w:top w:w="90" w:type="dxa"/>
              <w:start w:w="120" w:type="dxa"/>
              <w:bottom w:w="90" w:type="dxa"/>
              <w:end w:w="120" w:type="dxa"/>
            </w:tcMar>
          </w:tcPr>
          <w:p>
            <w:pPr>
              <w:keepNext/>
              <w:keepLines/>
              <w:spacing w:after="40" w:line="252" w:lineRule="auto"/>
            </w:pPr>
            <w:r>
              <w:rPr>
                <w:b w:val="0"/>
                <w:i w:val="0"/>
              </w:rPr>
              <w:t>Beschreiben Sie Material, Form, Spuren, Abmessungen.</w:t>
            </w:r>
          </w:p>
        </w:tc>
        <w:tc>
          <w:tcPr>
            <w:tcW w:type="dxa" w:w="2683"/>
            <w:vAlign w:val="center"/>
            <w:tcMar>
              <w:top w:w="90" w:type="dxa"/>
              <w:start w:w="120" w:type="dxa"/>
              <w:bottom w:w="90" w:type="dxa"/>
              <w:end w:w="120" w:type="dxa"/>
            </w:tcMar>
          </w:tcPr>
          <w:p>
            <w:pPr>
              <w:keepNext/>
              <w:keepLines/>
              <w:spacing w:after="40" w:line="252" w:lineRule="auto"/>
            </w:pPr>
            <w:r>
              <w:rPr>
                <w:b w:val="0"/>
                <w:i w:val="0"/>
              </w:rPr>
              <w:t>Beobachtung installieren.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Bitten Sie um mindestens zwei Hypothesen.</w:t>
            </w:r>
          </w:p>
        </w:tc>
        <w:tc>
          <w:tcPr>
            <w:tcW w:type="dxa" w:w="2889"/>
            <w:vAlign w:val="center"/>
            <w:tcMar>
              <w:top w:w="90" w:type="dxa"/>
              <w:start w:w="120" w:type="dxa"/>
              <w:bottom w:w="90" w:type="dxa"/>
              <w:end w:w="120" w:type="dxa"/>
            </w:tcMar>
          </w:tcPr>
          <w:p>
            <w:pPr>
              <w:keepNext/>
              <w:keepLines/>
              <w:spacing w:after="40" w:line="252" w:lineRule="auto"/>
            </w:pPr>
            <w:r>
              <w:rPr>
                <w:b w:val="0"/>
                <w:i w:val="0"/>
              </w:rPr>
              <w:t>Verknüpfen Sie jedes mit Hinweise.</w:t>
            </w:r>
          </w:p>
        </w:tc>
        <w:tc>
          <w:tcPr>
            <w:tcW w:type="dxa" w:w="2683"/>
            <w:vAlign w:val="center"/>
            <w:tcMar>
              <w:top w:w="90" w:type="dxa"/>
              <w:start w:w="120" w:type="dxa"/>
              <w:bottom w:w="90" w:type="dxa"/>
              <w:end w:w="120" w:type="dxa"/>
            </w:tcMar>
          </w:tcPr>
          <w:p>
            <w:pPr>
              <w:keepNext/>
              <w:keepLines/>
              <w:spacing w:after="40" w:line="252" w:lineRule="auto"/>
            </w:pPr>
            <w:r>
              <w:rPr>
                <w:b w:val="0"/>
                <w:i w:val="0"/>
              </w:rPr>
              <w:t>Öffnen Sie mehrere Interpretationen.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validierte Kontextdaten.</w:t>
            </w:r>
          </w:p>
        </w:tc>
        <w:tc>
          <w:tcPr>
            <w:tcW w:type="dxa" w:w="2889"/>
            <w:vAlign w:val="center"/>
            <w:tcMar>
              <w:top w:w="90" w:type="dxa"/>
              <w:start w:w="120" w:type="dxa"/>
              <w:bottom w:w="90" w:type="dxa"/>
              <w:end w:w="120" w:type="dxa"/>
            </w:tcMar>
          </w:tcPr>
          <w:p>
            <w:pPr>
              <w:keepNext/>
              <w:keepLines/>
              <w:spacing w:after="40" w:line="252" w:lineRule="auto"/>
            </w:pPr>
            <w:r>
              <w:rPr>
                <w:b w:val="0"/>
                <w:i w:val="0"/>
              </w:rPr>
              <w:t>Bestätigen, qualifizieren oder verwerfen Sie Leads.</w:t>
            </w:r>
          </w:p>
        </w:tc>
        <w:tc>
          <w:tcPr>
            <w:tcW w:type="dxa" w:w="2683"/>
            <w:vAlign w:val="center"/>
            <w:tcMar>
              <w:top w:w="90" w:type="dxa"/>
              <w:start w:w="120" w:type="dxa"/>
              <w:bottom w:w="90" w:type="dxa"/>
              <w:end w:w="120" w:type="dxa"/>
            </w:tcMar>
          </w:tcPr>
          <w:p>
            <w:pPr>
              <w:keepNext/>
              <w:keepLines/>
              <w:spacing w:after="40" w:line="252" w:lineRule="auto"/>
            </w:pPr>
            <w:r>
              <w:rPr>
                <w:b w:val="0"/>
                <w:i w:val="0"/>
              </w:rPr>
              <w:t>Testannahmen.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Führen Sie eine gemeinsame Schlussfolgerung durch.</w:t>
            </w:r>
          </w:p>
        </w:tc>
        <w:tc>
          <w:tcPr>
            <w:tcW w:type="dxa" w:w="2889"/>
            <w:vAlign w:val="center"/>
            <w:tcMar>
              <w:top w:w="90" w:type="dxa"/>
              <w:start w:w="120" w:type="dxa"/>
              <w:bottom w:w="90" w:type="dxa"/>
              <w:end w:w="120" w:type="dxa"/>
            </w:tcMar>
          </w:tcPr>
          <w:p>
            <w:pPr>
              <w:keepNext/>
              <w:keepLines/>
              <w:spacing w:after="40" w:line="252" w:lineRule="auto"/>
            </w:pPr>
            <w:r>
              <w:rPr>
                <w:b w:val="0"/>
                <w:i w:val="0"/>
              </w:rPr>
              <w:t>Klassifizieren Sie etabliert, plausibel und unbekannt.</w:t>
            </w:r>
          </w:p>
        </w:tc>
        <w:tc>
          <w:tcPr>
            <w:tcW w:type="dxa" w:w="2683"/>
            <w:vAlign w:val="center"/>
            <w:tcMar>
              <w:top w:w="90" w:type="dxa"/>
              <w:start w:w="120" w:type="dxa"/>
              <w:bottom w:w="90" w:type="dxa"/>
              <w:end w:w="120" w:type="dxa"/>
            </w:tcMar>
          </w:tcPr>
          <w:p>
            <w:pPr>
              <w:keepLines/>
              <w:spacing w:after="40" w:line="252" w:lineRule="auto"/>
            </w:pPr>
            <w:r>
              <w:rPr>
                <w:b w:val="0"/>
                <w:i w:val="0"/>
              </w:rPr>
              <w:t>Schließen Sie mit Vorsicht ab.</w:t>
            </w:r>
          </w:p>
        </w:tc>
      </w:tr>
    </w:tbl>
    <w:p>
      <w:pPr>
        <w:spacing w:after="0"/>
      </w:pPr>
    </w:p>
    <w:p>
      <w:pPr>
        <w:pStyle w:val="Heading2"/>
        <w:keepNext/>
        <w:keepLines/>
      </w:pPr>
      <w:r>
        <w:rPr>
          <w:b w:val="0"/>
          <w:i w:val="0"/>
        </w:rPr>
        <w:t>7. Fragen und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Beobachten</w:t>
            </w:r>
          </w:p>
          <w:p>
            <w:pPr>
              <w:pStyle w:val="ListBullet"/>
              <w:keepNext/>
              <w:keepLines/>
            </w:pPr>
            <w:r>
              <w:rPr>
                <w:b w:val="0"/>
                <w:i w:val="0"/>
              </w:rPr>
              <w:t>Was können Sie messen?</w:t>
            </w:r>
          </w:p>
          <w:p>
            <w:pPr>
              <w:pStyle w:val="ListBullet"/>
              <w:keepNext/>
              <w:keepLines/>
            </w:pPr>
            <w:r>
              <w:rPr>
                <w:b w:val="0"/>
                <w:i w:val="0"/>
              </w:rPr>
              <w:t>Welche Spuren sind sichtbar?</w:t>
            </w:r>
          </w:p>
          <w:p>
            <w:pPr>
              <w:pStyle w:val="ListBullet"/>
              <w:keepNext w:val="0"/>
              <w:keepLines/>
            </w:pPr>
            <w:r>
              <w:rPr>
                <w:b w:val="0"/>
                <w:i w:val="0"/>
              </w:rPr>
              <w:t>Was zeigt dieses Ansicht nicht an?</w:t>
            </w:r>
          </w:p>
        </w:tc>
        <w:tc>
          <w:tcPr>
            <w:tcW w:type="dxa" w:w="5159"/>
            <w:vAlign w:val="top"/>
            <w:shd w:fill="F7F4EF"/>
            <w:tcMar>
              <w:top w:w="90" w:type="dxa"/>
              <w:start w:w="120" w:type="dxa"/>
              <w:bottom w:w="90" w:type="dxa"/>
              <w:end w:w="120" w:type="dxa"/>
            </w:tcMar>
          </w:tcPr>
          <w:p>
            <w:pPr>
              <w:pStyle w:val="Heading3"/>
              <w:keepLines/>
            </w:pPr>
            <w:r>
              <w:rPr>
                <w:b w:val="0"/>
                <w:i w:val="0"/>
              </w:rPr>
              <w:t>Überprüfen</w:t>
            </w:r>
          </w:p>
          <w:p>
            <w:pPr>
              <w:pStyle w:val="ListBullet"/>
              <w:keepNext/>
              <w:keepLines/>
            </w:pPr>
            <w:r>
              <w:rPr>
                <w:b w:val="0"/>
                <w:i w:val="0"/>
              </w:rPr>
              <w:t>Welcher Kontext würde zwischen den Hypothesen entscheiden?</w:t>
            </w:r>
          </w:p>
          <w:p>
            <w:pPr>
              <w:pStyle w:val="ListBullet"/>
              <w:keepNext/>
              <w:keepLines/>
            </w:pPr>
            <w:r>
              <w:rPr>
                <w:b w:val="0"/>
                <w:i w:val="0"/>
              </w:rPr>
              <w:t>Mit welchem Referenzobjekt soll verglichen werden?</w:t>
            </w:r>
          </w:p>
          <w:p>
            <w:pPr>
              <w:pStyle w:val="ListBullet"/>
              <w:keepNext w:val="0"/>
              <w:keepLines/>
            </w:pPr>
            <w:r>
              <w:rPr>
                <w:b w:val="0"/>
                <w:i w:val="0"/>
              </w:rPr>
              <w:t>Welche Analyse wäre sinnvoll?</w:t>
            </w:r>
          </w:p>
        </w:tc>
      </w:tr>
    </w:tbl>
    <w:p>
      <w:pPr>
        <w:spacing w:after="0"/>
      </w:pPr>
    </w:p>
    <w:p>
      <w:pPr>
        <w:pStyle w:val="Heading2"/>
        <w:keepNext/>
        <w:keepLines/>
      </w:pPr>
      <w:r>
        <w:rPr>
          <w:b w:val="0"/>
          <w:i w:val="0"/>
        </w:rPr>
        <w:t>8. Antworten oder erwartete Elemente</w:t>
      </w:r>
    </w:p>
    <w:p>
      <w:pPr>
        <w:keepLines/>
      </w:pPr>
      <w:r>
        <w:rPr>
          <w:b w:val="0"/>
          <w:i w:val="0"/>
        </w:rPr>
        <w:t>Vor der Integration des Korpus wird keine A-E-Funktion erwartet. Eine erfolgreiche Produktion enthält eine unabhängige Beschreibung, mindestens zwei Hypothesen, den zugehörigen Hinweise, einen Einwand oder eine Grenze und ein Mittel zur Überprüfung: Entdeckungskontext, Gebrauchsspuren, typologischer Vergleich, Materialanalyse, Messung oder Textquelle.</w:t>
      </w:r>
    </w:p>
    <w:p>
      <w:pPr>
        <w:pStyle w:val="Heading2"/>
        <w:keepNext/>
        <w:keepLines/>
      </w:pPr>
      <w:r>
        <w:rPr>
          <w:b w:val="0"/>
          <w:i w:val="0"/>
        </w:rPr>
        <w:t>9. Differenzierung</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Brauchen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Anpassung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Hilfe</w:t>
            </w:r>
          </w:p>
        </w:tc>
        <w:tc>
          <w:tcPr>
            <w:tcW w:type="dxa" w:w="7223"/>
            <w:vAlign w:val="center"/>
            <w:tcMar>
              <w:top w:w="90" w:type="dxa"/>
              <w:start w:w="120" w:type="dxa"/>
              <w:bottom w:w="90" w:type="dxa"/>
              <w:end w:w="120" w:type="dxa"/>
            </w:tcMar>
          </w:tcPr>
          <w:p>
            <w:pPr>
              <w:keepNext/>
              <w:keepLines/>
              <w:spacing w:after="40" w:line="252" w:lineRule="auto"/>
            </w:pPr>
            <w:r>
              <w:rPr>
                <w:b w:val="0"/>
                <w:i w:val="0"/>
              </w:rPr>
              <w:t>Arbeiten Sie an einem einzelnen Objekt und geben Sie Vokabularbeschriftungen an.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Erleichtern Sie die Schrift</w:t>
            </w:r>
          </w:p>
        </w:tc>
        <w:tc>
          <w:tcPr>
            <w:tcW w:type="dxa" w:w="7223"/>
            <w:vAlign w:val="center"/>
            <w:tcMar>
              <w:top w:w="90" w:type="dxa"/>
              <w:start w:w="120" w:type="dxa"/>
              <w:bottom w:w="90" w:type="dxa"/>
              <w:end w:w="120" w:type="dxa"/>
            </w:tcMar>
          </w:tcPr>
          <w:p>
            <w:pPr>
              <w:keepNext/>
              <w:keepLines/>
              <w:spacing w:after="40" w:line="252" w:lineRule="auto"/>
            </w:pPr>
            <w:r>
              <w:rPr>
                <w:b w:val="0"/>
                <w:i w:val="0"/>
              </w:rPr>
              <w:t>Klassifizieren Sie „Ich beobachte/ich vermute/ich überprüfe“-Karten.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Gehen Sie tiefer</w:t>
            </w:r>
          </w:p>
        </w:tc>
        <w:tc>
          <w:tcPr>
            <w:tcW w:type="dxa" w:w="7223"/>
            <w:vAlign w:val="center"/>
            <w:tcMar>
              <w:top w:w="90" w:type="dxa"/>
              <w:start w:w="120" w:type="dxa"/>
              <w:bottom w:w="90" w:type="dxa"/>
              <w:end w:w="120" w:type="dxa"/>
            </w:tcMar>
          </w:tcPr>
          <w:p>
            <w:pPr>
              <w:keepLines/>
              <w:spacing w:after="40" w:line="252" w:lineRule="auto"/>
            </w:pPr>
            <w:r>
              <w:rPr>
                <w:b w:val="0"/>
                <w:i w:val="0"/>
              </w:rPr>
              <w:t>Vergleichen Sie zwei Aufzeichnungen und besprechen Sie, welche Änderungen sich mit der Herkunft ergeben.</w:t>
            </w:r>
          </w:p>
        </w:tc>
      </w:tr>
    </w:tbl>
    <w:p>
      <w:pPr>
        <w:spacing w:after="0"/>
      </w:pPr>
    </w:p>
    <w:p>
      <w:pPr>
        <w:pStyle w:val="Heading2"/>
        <w:keepNext/>
        <w:keepLines/>
      </w:pPr>
      <w:r>
        <w:rPr>
          <w:b w:val="0"/>
          <w:i w:val="0"/>
        </w:rPr>
        <w:t>10. Museumsadaption</w:t>
      </w:r>
    </w:p>
    <w:p>
      <w:pPr>
        <w:keepLines/>
      </w:pPr>
      <w:r>
        <w:rPr>
          <w:b w:val="0"/>
          <w:i w:val="0"/>
        </w:rPr>
        <w:t>Wählen Sie ein Objekt, das zur Institution und ihren tatsächlichen Sammlungen passt. Die Beobachtung kann im Fenster erfolgen; Ein Foto oder eine Replik stellt eine mögliche Variante dar, ersetzt jedoch nicht vollständig das Original. Eine Manipulation kommt nur dann in Betracht, wenn das Objekt gehandhabt werden kann, die Museumsordnung dies zulässt und dem Konservierungsprotokoll entspricht.</w:t>
      </w:r>
    </w:p>
    <w:p>
      <w:pPr>
        <w:pStyle w:val="Heading2"/>
        <w:keepNext/>
        <w:keepLines/>
      </w:pPr>
      <w:r>
        <w:rPr>
          <w:b w:val="0"/>
          <w:i w:val="0"/>
        </w:rPr>
        <w:t>11. Schnelle Beurteilung</w:t>
      </w:r>
    </w:p>
    <w:p>
      <w:pPr>
        <w:keepLines/>
      </w:pPr>
      <w:r>
        <w:rPr>
          <w:b w:val="0"/>
          <w:i w:val="0"/>
        </w:rPr>
        <w:t>Heben Sie in einer Schlussfolgerung eine Beobachtung, eine Hypothese und ein Mittel zur Überprüfung hervor. Bewerten Sie die Fähigkeit, Ihre Meinung zu ändern, wenn der Kontext einen neuen Hinweis bringt.</w:t>
      </w:r>
    </w:p>
    <w:p>
      <w:pPr>
        <w:pStyle w:val="Heading2"/>
        <w:keepNext/>
        <w:keepLines/>
      </w:pPr>
      <w:r>
        <w:rPr>
          <w:b w:val="0"/>
          <w:i w:val="0"/>
        </w:rPr>
        <w:t>12. Häufige Fehler</w:t>
      </w:r>
    </w:p>
    <w:p>
      <w:pPr>
        <w:keepLines/>
        <w:shd w:fill="F7F4EF"/>
        <w:pBdr>
          <w:left w:val="single" w:sz="18" w:space="8" w:color="315F79"/>
        </w:pBdr>
      </w:pPr>
      <w:r>
        <w:rPr>
          <w:b w:val="0"/>
          <w:i w:val="0"/>
        </w:rPr>
        <w:t>Behaupten Sie nicht, dass ein Knöchel unbedingt zum Spielen, Vorhersagen oder Zählen verwendet wurde. Kündigen Sie keine undokumentierte Museumsvalidierung an. Stellen Sie eine moderne digitale Adaption nicht als historische Rekonstruktion dar.</w:t>
      </w:r>
    </w:p>
    <w:p>
      <w:pPr>
        <w:pStyle w:val="ListBullet"/>
        <w:keepNext/>
        <w:keepLines/>
      </w:pPr>
      <w:r>
        <w:rPr>
          <w:b w:val="0"/>
          <w:i w:val="0"/>
        </w:rPr>
        <w:t>Benennen Sie das Objekt, bevor Sie es beschreiben.</w:t>
      </w:r>
    </w:p>
    <w:p>
      <w:pPr>
        <w:pStyle w:val="ListBullet"/>
        <w:keepNext/>
        <w:keepLines/>
      </w:pPr>
      <w:r>
        <w:rPr>
          <w:b w:val="0"/>
          <w:i w:val="0"/>
        </w:rPr>
        <w:t>Behalten Sie nur eine Hypothese bei.</w:t>
      </w:r>
    </w:p>
    <w:p>
      <w:pPr>
        <w:pStyle w:val="ListBullet"/>
        <w:keepNext/>
        <w:keepLines/>
      </w:pPr>
      <w:r>
        <w:rPr>
          <w:b w:val="0"/>
          <w:i w:val="0"/>
        </w:rPr>
        <w:t>Verwirrende Ähnlichkeit und gleiche Verwendung.</w:t>
      </w:r>
    </w:p>
    <w:p>
      <w:pPr>
        <w:pStyle w:val="ListBullet"/>
        <w:keepNext w:val="0"/>
        <w:keepLines/>
      </w:pPr>
      <w:r>
        <w:rPr>
          <w:b w:val="0"/>
          <w:i w:val="0"/>
        </w:rPr>
        <w:t>Erkennungskontext ignorieren.</w:t>
      </w:r>
    </w:p>
    <w:p>
      <w:pPr>
        <w:pStyle w:val="Heading2"/>
        <w:keepNext/>
        <w:keepLines/>
      </w:pPr>
      <w:r>
        <w:rPr>
          <w:b w:val="0"/>
          <w:i w:val="0"/>
        </w:rPr>
        <w:t>13. Quellen und Grenzen</w:t>
      </w:r>
    </w:p>
    <w:p>
      <w:pPr>
        <w:keepLines/>
      </w:pPr>
      <w:r>
        <w:rPr>
          <w:b w:val="0"/>
          <w:i w:val="0"/>
        </w:rPr>
        <w:t>Die Unterstützung setzt einen archäologischen Untersuchungsansatz um: Beobachtung, Formulierung von Hypothesen, Vergleich mit dem Kontext und Vergleich. Die fünf Bilder des Metropolitan Museum of Art, die im Rahmen der Neugestaltung als vorläufig dokumentiert wurden, sind aus den PDFs ausgeschlossen. Das Codierungsspiel ist eine zeitgenössische Erweiterung und kein Beweis für eine antike Verwendung.</w:t>
      </w:r>
    </w:p>
    <w:p>
      <w:pPr>
        <w:pStyle w:val="Heading2"/>
        <w:keepNext/>
        <w:keepLines/>
      </w:pPr>
      <w:r>
        <w:rPr>
          <w:b w:val="0"/>
          <w:i w:val="0"/>
        </w:rPr>
        <w:t>14. Aktueller Status und verbleibende Validierungen</w:t>
      </w:r>
    </w:p>
    <w:p>
      <w:pPr>
        <w:keepLines/>
        <w:shd w:fill="F7F4EF"/>
        <w:pBdr>
          <w:left w:val="single" w:sz="18" w:space="8" w:color="315F79"/>
        </w:pBdr>
      </w:pPr>
      <w:r>
        <w:rPr>
          <w:b w:val="0"/>
          <w:i w:val="0"/>
        </w:rPr>
        <w:t>Vorlagen und Methoden bereit für Tests an Erwachsenen. Integrieren Sie vor einer Studentensitzung dokumentierte A-E-Objekte, überprüfen Sie Hinweise und Rechte, stellen Sie die in jeder Phase offengelegten Informationen fest und lassen Sie den Korpus von wissenschaftlichen und Museumsmanagern validieren.</w:t>
      </w:r>
    </w:p>
    <w:p>
      <w:pPr>
        <w:pStyle w:val="Heading2"/>
        <w:keepNext/>
        <w:keepLines/>
      </w:pPr>
      <w:r>
        <w:rPr>
          <w:b w:val="0"/>
          <w:i w:val="0"/>
        </w:rPr>
        <w:t>Plan drucken</w:t>
      </w:r>
    </w:p>
    <w:p>
      <w:pPr>
        <w:pStyle w:val="ResourceCredit"/>
        <w:spacing w:before="160"/>
      </w:pPr>
      <w:r>
        <w:rPr>
          <w:b/>
        </w:rPr>
        <w:t xml:space="preserve">Nachvollziehbarkeit : </w:t>
      </w:r>
      <w:hyperlink r:id="rId11">
        <w:r>
          <w:rPr>
            <w:color w:val="315F79"/>
            <w:u w:val="single"/>
          </w:rPr>
          <w:t>https://histoire-d-os.github.io/Histoire-d-os/de/ressources/activite-04-un-os-plusieurs-vies.html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de/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04 - Leitfaden (DE)</dc:title>
  <dc:subject>Pädagogische Pilotressource zum Talus/Astragalus</dc:subject>
  <dc:creator>Histoires d'os</dc:creator>
  <cp:keywords>Histoires d'os, talus, astragale, de, Aktivität 04</cp:keywords>
  <dc:description>generated by python-docx</dc:description>
  <cp:lastModifiedBy/>
  <cp:revision>1</cp:revision>
  <dcterms:created xsi:type="dcterms:W3CDTF">2013-12-23T23:15:00Z</dcterms:created>
  <dcterms:modified xsi:type="dcterms:W3CDTF">2013-12-23T23:15:00Z</dcterms:modified>
  <cp:category/>
</cp:coreProperties>
</file>