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Activity 1</w:t>
      </w:r>
    </w:p>
    <w:p>
      <w:pPr>
        <w:pStyle w:val="Heading1"/>
        <w:keepNext/>
        <w:keepLines/>
      </w:pPr>
      <w:r>
        <w:rPr>
          <w:b w:val="0"/>
          <w:i w:val="0"/>
        </w:rPr>
        <w:t>Answer key and leads</w:t>
      </w:r>
      <w:r>
        <w:br/>
      </w:r>
      <w:r>
        <w:rPr>
          <w:b w:val="0"/>
          <w:i w:val="0"/>
        </w:rPr>
        <w:t>Find the astragalus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Adult answer key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Teachers and museum educators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Group review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content to be tested and proofread before final release.</w:t>
      </w:r>
    </w:p>
    <w:p>
      <w:pPr>
        <w:pStyle w:val="Heading2"/>
        <w:keepNext/>
        <w:keepLines/>
      </w:pPr>
      <w:r>
        <w:rPr>
          <w:b w:val="0"/>
          <w:i w:val="0"/>
        </w:rPr>
        <w:t>landmarks fast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Form stage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Expected response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Possible answer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To resume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Describe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Three observable characteristics.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Rounded, smooth surfaces, hollows, reliefs.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“It’s a foot bone” without description.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Locate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Tarsus region, between leg and foot.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“Near the ankle, in the foot” if justified.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“In the visible heel” without nuance.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Justify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Two clues linked to the proposition.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Position and joint surfaces.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General resemblance only.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Compare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 similarity and a difference.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Comparable bone, different proportions.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“All feet are the same.”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Formulations adapted to students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Solid response</w:t>
            </w:r>
          </w:p>
          <w:p>
            <w:pPr>
              <w:keepLines/>
            </w:pPr>
            <w:r>
              <w:rPr>
                <w:b w:val="0"/>
                <w:i w:val="0"/>
              </w:rPr>
              <w:t>“I think the bone is in the tarsus because it is placed between the leg and foot and has several smooth surfaces that articulate with other bones. »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Cautious response</w:t>
            </w:r>
          </w:p>
          <w:p>
            <w:pPr>
              <w:keepLines/>
            </w:pPr>
            <w:r>
              <w:rPr>
                <w:b w:val="0"/>
                <w:i w:val="0"/>
              </w:rPr>
              <w:t>“This area is likely, but I would like to compare with a complete skeleton to verify. »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Common errors and correction</w:t>
      </w:r>
    </w:p>
    <w:p>
      <w:pPr>
        <w:pStyle w:val="ListBullet"/>
        <w:keepNext/>
        <w:keepLines/>
      </w:pPr>
      <w:r>
        <w:rPr>
          <w:b/>
          <w:i w:val="0"/>
        </w:rPr>
        <w:t>talus = heel visible:</w:t>
      </w:r>
      <w:r>
        <w:rPr>
          <w:b w:val="0"/>
          <w:i w:val="0"/>
        </w:rPr>
        <w:t xml:space="preserve"> remember that the talus is a deep tarsal bone.</w:t>
      </w:r>
    </w:p>
    <w:p>
      <w:pPr>
        <w:pStyle w:val="ListBullet"/>
        <w:keepNext/>
        <w:keepLines/>
      </w:pPr>
      <w:r>
        <w:rPr>
          <w:b/>
          <w:i w:val="0"/>
        </w:rPr>
        <w:t>One image is enough:</w:t>
      </w:r>
      <w:r>
        <w:rPr>
          <w:b w:val="0"/>
          <w:i w:val="0"/>
        </w:rPr>
        <w:t xml:space="preserve"> compare several views before concluding.</w:t>
      </w:r>
    </w:p>
    <w:p>
      <w:pPr>
        <w:pStyle w:val="ListBullet"/>
        <w:keepNext w:val="0"/>
        <w:keepLines/>
      </w:pPr>
      <w:r>
        <w:rPr>
          <w:b/>
          <w:i w:val="0"/>
        </w:rPr>
        <w:t>Similarity = proof:</w:t>
      </w:r>
      <w:r>
        <w:rPr>
          <w:b w:val="0"/>
          <w:i w:val="0"/>
        </w:rPr>
        <w:t xml:space="preserve"> request a second clue and a reference.</w:t>
      </w:r>
    </w:p>
    <w:p>
      <w:pPr>
        <w:pStyle w:val="Heading2"/>
        <w:keepNext/>
        <w:keepLines/>
      </w:pPr>
      <w:r>
        <w:rPr>
          <w:b w:val="0"/>
          <w:i w:val="0"/>
        </w:rPr>
        <w:t>Scientific limits</w:t>
      </w:r>
    </w:p>
    <w:p>
      <w:pPr>
        <w:keepLines/>
      </w:pPr>
      <w:r>
        <w:rPr>
          <w:b w:val="0"/>
          <w:i w:val="0"/>
        </w:rPr>
        <w:t>The sheet allows an introductory anatomical identification. It does not replace either anatomical training or an osteological reference corpus. The talus/astragalus vocabulary is deliberately explained; the terminology depends on the anatomical, historical or archaeological context.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Have the final formulations reread, test comprehension by students and confirm the choice of the future anatomical diagram of the project.</w:t>
      </w: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1">
        <w:r>
          <w:rPr>
            <w:color w:val="9A5B25"/>
            <w:u w:val="single"/>
          </w:rPr>
          <w:t>https://histoire-d-os.github.io/Histoire-d-os/en/ressources/activite-01-trouver-astragale.html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en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01 - answer guidance (EN)</dc:title>
  <dc:subject>Pilot educational resource about the talus/astragalus</dc:subject>
  <dc:creator>Histoires d'os</dc:creator>
  <cp:keywords>Histoires d'os, talus, astragale, en, Activity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