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4</w:t>
      </w:r>
    </w:p>
    <w:p>
      <w:pPr>
        <w:pStyle w:val="Heading1"/>
        <w:keepNext/>
        <w:keepLines/>
      </w:pPr>
      <w:r>
        <w:rPr>
          <w:b w:val="0"/>
          <w:i w:val="0"/>
        </w:rPr>
        <w:t>Method correction</w:t>
      </w:r>
      <w:r>
        <w:br/>
      </w:r>
      <w:r>
        <w:rPr>
          <w:b w:val="0"/>
          <w:i w:val="0"/>
        </w:rPr>
        <w:t>One bone, many lives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Adult answer key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Teachers and museum educators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Group discussion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Reasoning correction - no functions A to E are defined in this version.</w:t>
      </w:r>
    </w:p>
    <w:p>
      <w:pPr>
        <w:pStyle w:val="Heading2"/>
        <w:keepNext/>
        <w:keepLines/>
      </w:pPr>
      <w:r>
        <w:rPr>
          <w:b w:val="0"/>
          <w:i w:val="0"/>
        </w:rPr>
        <w:t>Correction grid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Step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Expected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Acceptable example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To resume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Observation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Visible or measurable characteristics.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“Polished surface on one side”.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“Game object”.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Hypothesis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At least two distinct possibilities.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Wear linked to use or natural transformation.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Only one certain function.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Interpretation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clues linked to each proposition.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Shape, traces, material and comparison.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Similarity only.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Verification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Data capable of deciding between the leads.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Context, analysis, measurement, reference.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New guess.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Conclusion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Established, plausible and unknown distinguished.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The proposal remains revisable.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The doubt is erased.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Useful reminders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When an idea comes too quickly</w:t>
            </w:r>
          </w:p>
          <w:p>
            <w:pPr>
              <w:keepLines/>
            </w:pPr>
            <w:r>
              <w:rPr>
                <w:b w:val="0"/>
                <w:i w:val="0"/>
              </w:rPr>
              <w:t>“What exactly did you see?” Can you write the same sentence without naming the function? »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When the group gets stuck</w:t>
            </w:r>
          </w:p>
          <w:p>
            <w:pPr>
              <w:keepLines/>
            </w:pPr>
            <w:r>
              <w:rPr>
                <w:b w:val="0"/>
                <w:i w:val="0"/>
              </w:rPr>
              <w:t>“What other story would explain the same trace? What information would allow us to choose? »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What the correction does not contain</w:t>
      </w:r>
    </w:p>
    <w:p>
      <w:pPr>
        <w:keepLines/>
      </w:pPr>
      <w:r>
        <w:rPr>
          <w:b w:val="0"/>
          <w:i w:val="0"/>
        </w:rPr>
        <w:t>There is no “A = game, B = divination…” table: the objects have not yet been selected or validated. Even with a definitive corpus, certain functions may remain debated. The answer key should present the clues, sources and degree of confidence rather than a simplified answer.</w:t>
      </w:r>
    </w:p>
    <w:p>
      <w:pPr>
        <w:pStyle w:val="Heading2"/>
        <w:keepNext/>
        <w:keepLines/>
      </w:pPr>
      <w:r>
        <w:rPr>
          <w:b w:val="0"/>
          <w:i w:val="0"/>
        </w:rPr>
        <w:t>Digital extension</w:t>
      </w:r>
    </w:p>
    <w:p>
      <w:pPr>
        <w:keepLines/>
      </w:pPr>
      <w:r>
        <w:rPr>
          <w:b w:val="0"/>
          <w:i w:val="0"/>
        </w:rPr>
        <w:t>The game “Coding with the knucklebone” can extend the discussion on contemporary technical use. It must be presented as a modern educational creation, not as the reconstruction of a documented ancient practice.</w:t>
      </w:r>
    </w:p>
    <w:p>
      <w:pPr>
        <w:keepLines/>
        <w:shd w:fill="F7F4EF"/>
        <w:pBdr>
          <w:left w:val="single" w:sz="18" w:space="8" w:color="315F79"/>
        </w:pBdr>
      </w:pPr>
      <w:r>
        <w:rPr>
          <w:b w:val="0"/>
          <w:i w:val="0"/>
        </w:rPr>
        <w:t>Complete this correction only after validation of the objects, notices, rights and interpretations by the scientific and museum managers.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1">
        <w:r>
          <w:rPr>
            <w:color w:val="315F79"/>
            <w:u w:val="single"/>
          </w:rPr>
          <w:t>https://histoire-d-os.github.io/Histoire-d-os/en/ressources/activite-04-un-os-plusieurs-vies.html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15F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15F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en/ressources/activite-04-un-os-plusieurs-v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04 - answer guidance (EN)</dc:title>
  <dc:subject>Pilot educational resource about the talus/astragalus</dc:subject>
  <dc:creator>Histoires d'os</dc:creator>
  <cp:keywords>Histoires d'os, talus, astragale, en, Activity 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