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Activity 4</w:t>
      </w:r>
    </w:p>
    <w:p>
      <w:pPr>
        <w:pStyle w:val="Heading1"/>
        <w:keepNext/>
        <w:keepLines/>
      </w:pPr>
      <w:r>
        <w:rPr>
          <w:b w:val="0"/>
          <w:i w:val="0"/>
        </w:rPr>
        <w:t>Facilitator guide</w:t>
      </w:r>
      <w:r>
        <w:br/>
      </w:r>
      <w:r>
        <w:rPr>
          <w:b w:val="0"/>
          <w:i w:val="0"/>
        </w:rPr>
        <w:t>One bone, many lives</w:t>
      </w:r>
    </w:p>
    <w:p>
      <w:pPr>
        <w:keepLines/>
      </w:pPr>
      <w:r>
        <w:rPr>
          <w:b w:val="0"/>
          <w:i w:val="0"/>
        </w:rPr>
        <w:t>Guide to conducting an investigation into the possible uses of an object without announcing a definitive function.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Facilitator guide</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Supervising adults</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45-75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Cautious prototype - objects A to E and their instructions remain to be integrated.</w:t>
      </w:r>
    </w:p>
    <w:p>
      <w:pPr>
        <w:pStyle w:val="Heading2"/>
        <w:keepNext/>
        <w:keepLines/>
      </w:pPr>
      <w:r>
        <w:rPr>
          <w:b w:val="0"/>
          <w:i w:val="0"/>
        </w:rPr>
        <w:t>1. In brief</w:t>
      </w:r>
    </w:p>
    <w:p>
      <w:pPr>
        <w:keepLines/>
      </w:pPr>
      <w:r>
        <w:rPr>
          <w:b w:val="0"/>
          <w:i w:val="0"/>
        </w:rPr>
        <w:t>The students describe an object without attributing a use to it, formulate at least two hypotheses, choose the clues that support them then list the information necessary to decide between them. Cards A to E are templates: the activity becomes fully usable after adding a validated corpus.</w:t>
      </w:r>
    </w:p>
    <w:p>
      <w:pPr>
        <w:pStyle w:val="Heading2"/>
        <w:keepNext/>
        <w:keepLines/>
      </w:pPr>
      <w:r>
        <w:rPr>
          <w:b w:val="0"/>
          <w:i w:val="0"/>
        </w:rPr>
        <w:t>2. Objectives</w:t>
      </w:r>
    </w:p>
    <w:p>
      <w:pPr>
        <w:pStyle w:val="ListBullet"/>
        <w:keepNext/>
        <w:keepLines/>
      </w:pPr>
      <w:r>
        <w:rPr>
          <w:b w:val="0"/>
          <w:i w:val="0"/>
        </w:rPr>
        <w:t>Distinguish observation, hypothesis, interpretation and verification.</w:t>
      </w:r>
    </w:p>
    <w:p>
      <w:pPr>
        <w:pStyle w:val="ListBullet"/>
        <w:keepNext/>
        <w:keepLines/>
      </w:pPr>
      <w:r>
        <w:rPr>
          <w:b w:val="0"/>
          <w:i w:val="0"/>
        </w:rPr>
        <w:t>Describe material, shape, dimensions and visible traces.</w:t>
      </w:r>
    </w:p>
    <w:p>
      <w:pPr>
        <w:pStyle w:val="ListBullet"/>
        <w:keepNext/>
        <w:keepLines/>
      </w:pPr>
      <w:r>
        <w:rPr>
          <w:b w:val="0"/>
          <w:i w:val="0"/>
        </w:rPr>
        <w:t>Propose several possible uses from clues.</w:t>
      </w:r>
    </w:p>
    <w:p>
      <w:pPr>
        <w:pStyle w:val="ListBullet"/>
        <w:keepNext w:val="0"/>
        <w:keepLines/>
      </w:pPr>
      <w:r>
        <w:rPr>
          <w:b w:val="0"/>
          <w:i w:val="0"/>
        </w:rPr>
        <w:t>Understand the role of the archaeological and documentary context.</w:t>
      </w:r>
    </w:p>
    <w:p>
      <w:pPr>
        <w:pStyle w:val="Heading2"/>
        <w:keepNext/>
        <w:keepLines/>
      </w:pPr>
      <w:r>
        <w:rPr>
          <w:b w:val="0"/>
          <w:i w:val="0"/>
        </w:rPr>
        <w:t>3. Expected success</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Successful</w:t>
            </w:r>
          </w:p>
          <w:p>
            <w:pPr>
              <w:keepLines/>
            </w:pPr>
            <w:r>
              <w:rPr>
                <w:b w:val="0"/>
                <w:i w:val="0"/>
              </w:rPr>
              <w:t>Two hypotheses are linked to clues and to means of verification.</w:t>
            </w:r>
          </w:p>
        </w:tc>
        <w:tc>
          <w:tcPr>
            <w:tcW w:type="dxa" w:w="3439"/>
            <w:vAlign w:val="top"/>
            <w:shd w:fill="F7F4EF"/>
            <w:tcMar>
              <w:top w:w="90" w:type="dxa"/>
              <w:start w:w="120" w:type="dxa"/>
              <w:bottom w:w="90" w:type="dxa"/>
              <w:end w:w="120" w:type="dxa"/>
            </w:tcMar>
          </w:tcPr>
          <w:p>
            <w:pPr>
              <w:pStyle w:val="Heading3"/>
              <w:keepLines/>
            </w:pPr>
            <w:r>
              <w:rPr>
                <w:b w:val="0"/>
                <w:i w:val="0"/>
              </w:rPr>
              <w:t>In progress</w:t>
            </w:r>
          </w:p>
          <w:p>
            <w:pPr>
              <w:keepLines/>
            </w:pPr>
            <w:r>
              <w:rPr>
                <w:b w:val="0"/>
                <w:i w:val="0"/>
              </w:rPr>
              <w:t>The hypotheses are distinct, but the clues remain imprecise.</w:t>
            </w:r>
          </w:p>
        </w:tc>
        <w:tc>
          <w:tcPr>
            <w:tcW w:type="dxa" w:w="3440"/>
            <w:vAlign w:val="top"/>
            <w:shd w:fill="F7F4EF"/>
            <w:tcMar>
              <w:top w:w="90" w:type="dxa"/>
              <w:start w:w="120" w:type="dxa"/>
              <w:bottom w:w="90" w:type="dxa"/>
              <w:end w:w="120" w:type="dxa"/>
            </w:tcMar>
          </w:tcPr>
          <w:p>
            <w:pPr>
              <w:pStyle w:val="Heading3"/>
              <w:keepLines/>
            </w:pPr>
            <w:r>
              <w:rPr>
                <w:b w:val="0"/>
                <w:i w:val="0"/>
              </w:rPr>
              <w:t>To resume</w:t>
            </w:r>
          </w:p>
          <w:p>
            <w:pPr>
              <w:keepLines/>
            </w:pPr>
            <w:r>
              <w:rPr>
                <w:b w:val="0"/>
                <w:i w:val="0"/>
              </w:rPr>
              <w:t>The function is announced as certain from the first observation.</w:t>
            </w:r>
          </w:p>
        </w:tc>
      </w:tr>
    </w:tbl>
    <w:p>
      <w:pPr>
        <w:spacing w:after="0"/>
      </w:pPr>
    </w:p>
    <w:p>
      <w:pPr>
        <w:pStyle w:val="Heading2"/>
        <w:keepNext/>
        <w:keepLines/>
      </w:pPr>
      <w:r>
        <w:rPr>
          <w:b w:val="0"/>
          <w:i w:val="0"/>
        </w:rPr>
        <w:t>4. Duration and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Duration</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mins</w:t>
            </w:r>
          </w:p>
        </w:tc>
        <w:tc>
          <w:tcPr>
            <w:tcW w:type="dxa" w:w="3921"/>
            <w:vAlign w:val="center"/>
            <w:tcMar>
              <w:top w:w="90" w:type="dxa"/>
              <w:start w:w="120" w:type="dxa"/>
              <w:bottom w:w="90" w:type="dxa"/>
              <w:end w:w="120" w:type="dxa"/>
            </w:tcMar>
          </w:tcPr>
          <w:p>
            <w:pPr>
              <w:keepNext/>
              <w:keepLines/>
              <w:spacing w:after="40" w:line="252" w:lineRule="auto"/>
            </w:pPr>
            <w:r>
              <w:rPr>
                <w:b w:val="0"/>
                <w:i w:val="0"/>
              </w:rPr>
              <w:t>Sheet, A-E cards, photographs or validated replicas.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mins</w:t>
            </w:r>
          </w:p>
        </w:tc>
        <w:tc>
          <w:tcPr>
            <w:tcW w:type="dxa" w:w="3921"/>
            <w:vAlign w:val="center"/>
            <w:tcMar>
              <w:top w:w="90" w:type="dxa"/>
              <w:start w:w="120" w:type="dxa"/>
              <w:bottom w:w="90" w:type="dxa"/>
              <w:end w:w="120" w:type="dxa"/>
            </w:tcMar>
          </w:tcPr>
          <w:p>
            <w:pPr>
              <w:keepLines/>
              <w:spacing w:after="40" w:line="252" w:lineRule="auto"/>
            </w:pPr>
            <w:r>
              <w:rPr>
                <w:b w:val="0"/>
                <w:i w:val="0"/>
              </w:rPr>
              <w:t>Object in display, reproduction or manipulatable object authorized.</w:t>
            </w:r>
          </w:p>
        </w:tc>
      </w:tr>
    </w:tbl>
    <w:p>
      <w:pPr>
        <w:spacing w:after="0"/>
      </w:pPr>
    </w:p>
    <w:p>
      <w:pPr>
        <w:pStyle w:val="Heading2"/>
        <w:keepNext/>
        <w:keepLines/>
      </w:pPr>
      <w:r>
        <w:rPr>
          <w:b w:val="0"/>
          <w:i w:val="0"/>
        </w:rPr>
        <w:t>5. Quick preparation</w:t>
      </w:r>
    </w:p>
    <w:p>
      <w:pPr>
        <w:keepLines/>
        <w:shd w:fill="F7F4EF"/>
        <w:pBdr>
          <w:left w:val="single" w:sz="18" w:space="8" w:color="315F79"/>
        </w:pBdr>
      </w:pPr>
      <w:r>
        <w:rPr>
          <w:b w:val="0"/>
          <w:i w:val="0"/>
        </w:rPr>
        <w:t>Select one to five documented objects. Complete the cards without writing a function as a title. Keep context data hidden until the verification phase. Adapt the protocol to the rules of the institution.</w:t>
      </w:r>
    </w:p>
    <w:p>
      <w:pPr>
        <w:keepLines/>
        <w:shd w:fill="F7F4EF"/>
        <w:pBdr>
          <w:left w:val="single" w:sz="18" w:space="8" w:color="315F79"/>
        </w:pBdr>
      </w:pPr>
      <w:r>
        <w:rPr>
          <w:b w:val="0"/>
          <w:i w:val="0"/>
        </w:rPr>
        <w:t>“Start with what is visible. A hypothesis is a proposition to be tested, not a certain answer. »</w:t>
      </w:r>
    </w:p>
    <w:p>
      <w:pPr>
        <w:pStyle w:val="Heading2"/>
        <w:keepNext/>
        <w:keepLines/>
      </w:pPr>
      <w:r>
        <w:rPr>
          <w:b w:val="0"/>
          <w:i w:val="0"/>
        </w:rPr>
        <w:t>6. Detailed procedure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Time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Adult action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Student action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Purpose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Present the object without function.</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a first impression.</w:t>
            </w:r>
          </w:p>
        </w:tc>
        <w:tc>
          <w:tcPr>
            <w:tcW w:type="dxa" w:w="2683"/>
            <w:vAlign w:val="center"/>
            <w:tcMar>
              <w:top w:w="90" w:type="dxa"/>
              <w:start w:w="120" w:type="dxa"/>
              <w:bottom w:w="90" w:type="dxa"/>
              <w:end w:w="120" w:type="dxa"/>
            </w:tcMar>
          </w:tcPr>
          <w:p>
            <w:pPr>
              <w:keepNext/>
              <w:keepLines/>
              <w:spacing w:after="40" w:line="252" w:lineRule="auto"/>
            </w:pPr>
            <w:r>
              <w:rPr>
                <w:b w:val="0"/>
                <w:i w:val="0"/>
              </w:rPr>
              <w:t>Bring out initial ideas.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Temporarily ban common words.</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Describe material, shape, traces, dimensions.</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 observation.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Ask for at least two hypotheses.</w:t>
            </w:r>
          </w:p>
        </w:tc>
        <w:tc>
          <w:tcPr>
            <w:tcW w:type="dxa" w:w="2889"/>
            <w:vAlign w:val="center"/>
            <w:tcMar>
              <w:top w:w="90" w:type="dxa"/>
              <w:start w:w="120" w:type="dxa"/>
              <w:bottom w:w="90" w:type="dxa"/>
              <w:end w:w="120" w:type="dxa"/>
            </w:tcMar>
          </w:tcPr>
          <w:p>
            <w:pPr>
              <w:keepNext/>
              <w:keepLines/>
              <w:spacing w:after="40" w:line="252" w:lineRule="auto"/>
            </w:pPr>
            <w:r>
              <w:rPr>
                <w:b w:val="0"/>
                <w:i w:val="0"/>
              </w:rPr>
              <w:t>Link each to clues.</w:t>
            </w:r>
          </w:p>
        </w:tc>
        <w:tc>
          <w:tcPr>
            <w:tcW w:type="dxa" w:w="2683"/>
            <w:vAlign w:val="center"/>
            <w:tcMar>
              <w:top w:w="90" w:type="dxa"/>
              <w:start w:w="120" w:type="dxa"/>
              <w:bottom w:w="90" w:type="dxa"/>
              <w:end w:w="120" w:type="dxa"/>
            </w:tcMar>
          </w:tcPr>
          <w:p>
            <w:pPr>
              <w:keepNext/>
              <w:keepLines/>
              <w:spacing w:after="40" w:line="252" w:lineRule="auto"/>
            </w:pPr>
            <w:r>
              <w:rPr>
                <w:b w:val="0"/>
                <w:i w:val="0"/>
              </w:rPr>
              <w:t>Open multiple interpretations.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Distribute validated context data.</w:t>
            </w:r>
          </w:p>
        </w:tc>
        <w:tc>
          <w:tcPr>
            <w:tcW w:type="dxa" w:w="2889"/>
            <w:vAlign w:val="center"/>
            <w:tcMar>
              <w:top w:w="90" w:type="dxa"/>
              <w:start w:w="120" w:type="dxa"/>
              <w:bottom w:w="90" w:type="dxa"/>
              <w:end w:w="120" w:type="dxa"/>
            </w:tcMar>
          </w:tcPr>
          <w:p>
            <w:pPr>
              <w:keepNext/>
              <w:keepLines/>
              <w:spacing w:after="40" w:line="252" w:lineRule="auto"/>
            </w:pPr>
            <w:r>
              <w:rPr>
                <w:b w:val="0"/>
                <w:i w:val="0"/>
              </w:rPr>
              <w:t>Confirm, qualify or dismiss leads.</w:t>
            </w:r>
          </w:p>
        </w:tc>
        <w:tc>
          <w:tcPr>
            <w:tcW w:type="dxa" w:w="2683"/>
            <w:vAlign w:val="center"/>
            <w:tcMar>
              <w:top w:w="90" w:type="dxa"/>
              <w:start w:w="120" w:type="dxa"/>
              <w:bottom w:w="90" w:type="dxa"/>
              <w:end w:w="120" w:type="dxa"/>
            </w:tcMar>
          </w:tcPr>
          <w:p>
            <w:pPr>
              <w:keepNext/>
              <w:keepLines/>
              <w:spacing w:after="40" w:line="252" w:lineRule="auto"/>
            </w:pPr>
            <w:r>
              <w:rPr>
                <w:b w:val="0"/>
                <w:i w:val="0"/>
              </w:rPr>
              <w:t>Test assumptions.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Conduct a collective conclusion.</w:t>
            </w:r>
          </w:p>
        </w:tc>
        <w:tc>
          <w:tcPr>
            <w:tcW w:type="dxa" w:w="2889"/>
            <w:vAlign w:val="center"/>
            <w:tcMar>
              <w:top w:w="90" w:type="dxa"/>
              <w:start w:w="120" w:type="dxa"/>
              <w:bottom w:w="90" w:type="dxa"/>
              <w:end w:w="120" w:type="dxa"/>
            </w:tcMar>
          </w:tcPr>
          <w:p>
            <w:pPr>
              <w:keepNext/>
              <w:keepLines/>
              <w:spacing w:after="40" w:line="252" w:lineRule="auto"/>
            </w:pPr>
            <w:r>
              <w:rPr>
                <w:b w:val="0"/>
                <w:i w:val="0"/>
              </w:rPr>
              <w:t>Classify established, plausible and unknown.</w:t>
            </w:r>
          </w:p>
        </w:tc>
        <w:tc>
          <w:tcPr>
            <w:tcW w:type="dxa" w:w="2683"/>
            <w:vAlign w:val="center"/>
            <w:tcMar>
              <w:top w:w="90" w:type="dxa"/>
              <w:start w:w="120" w:type="dxa"/>
              <w:bottom w:w="90" w:type="dxa"/>
              <w:end w:w="120" w:type="dxa"/>
            </w:tcMar>
          </w:tcPr>
          <w:p>
            <w:pPr>
              <w:keepLines/>
              <w:spacing w:after="40" w:line="252" w:lineRule="auto"/>
            </w:pPr>
            <w:r>
              <w:rPr>
                <w:b w:val="0"/>
                <w:i w:val="0"/>
              </w:rPr>
              <w:t>Conclude with caution.</w:t>
            </w:r>
          </w:p>
        </w:tc>
      </w:tr>
    </w:tbl>
    <w:p>
      <w:pPr>
        <w:spacing w:after="0"/>
      </w:pPr>
    </w:p>
    <w:p>
      <w:pPr>
        <w:pStyle w:val="Heading2"/>
        <w:keepNext/>
        <w:keepLines/>
      </w:pPr>
      <w:r>
        <w:rPr>
          <w:b w:val="0"/>
          <w:i w:val="0"/>
        </w:rPr>
        <w:t>7. Questions and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Observe</w:t>
            </w:r>
          </w:p>
          <w:p>
            <w:pPr>
              <w:pStyle w:val="ListBullet"/>
              <w:keepNext/>
              <w:keepLines/>
            </w:pPr>
            <w:r>
              <w:rPr>
                <w:b w:val="0"/>
                <w:i w:val="0"/>
              </w:rPr>
              <w:t>What can you measure?</w:t>
            </w:r>
          </w:p>
          <w:p>
            <w:pPr>
              <w:pStyle w:val="ListBullet"/>
              <w:keepNext/>
              <w:keepLines/>
            </w:pPr>
            <w:r>
              <w:rPr>
                <w:b w:val="0"/>
                <w:i w:val="0"/>
              </w:rPr>
              <w:t>What traces are visible?</w:t>
            </w:r>
          </w:p>
          <w:p>
            <w:pPr>
              <w:pStyle w:val="ListBullet"/>
              <w:keepNext w:val="0"/>
              <w:keepLines/>
            </w:pPr>
            <w:r>
              <w:rPr>
                <w:b w:val="0"/>
                <w:i w:val="0"/>
              </w:rPr>
              <w:t>What does this view not show?</w:t>
            </w:r>
          </w:p>
        </w:tc>
        <w:tc>
          <w:tcPr>
            <w:tcW w:type="dxa" w:w="5159"/>
            <w:vAlign w:val="top"/>
            <w:shd w:fill="F7F4EF"/>
            <w:tcMar>
              <w:top w:w="90" w:type="dxa"/>
              <w:start w:w="120" w:type="dxa"/>
              <w:bottom w:w="90" w:type="dxa"/>
              <w:end w:w="120" w:type="dxa"/>
            </w:tcMar>
          </w:tcPr>
          <w:p>
            <w:pPr>
              <w:pStyle w:val="Heading3"/>
              <w:keepLines/>
            </w:pPr>
            <w:r>
              <w:rPr>
                <w:b w:val="0"/>
                <w:i w:val="0"/>
              </w:rPr>
              <w:t>Check</w:t>
            </w:r>
          </w:p>
          <w:p>
            <w:pPr>
              <w:pStyle w:val="ListBullet"/>
              <w:keepNext/>
              <w:keepLines/>
            </w:pPr>
            <w:r>
              <w:rPr>
                <w:b w:val="0"/>
                <w:i w:val="0"/>
              </w:rPr>
              <w:t>What context would decide between the hypotheses?</w:t>
            </w:r>
          </w:p>
          <w:p>
            <w:pPr>
              <w:pStyle w:val="ListBullet"/>
              <w:keepNext/>
              <w:keepLines/>
            </w:pPr>
            <w:r>
              <w:rPr>
                <w:b w:val="0"/>
                <w:i w:val="0"/>
              </w:rPr>
              <w:t>Which reference object to compare to?</w:t>
            </w:r>
          </w:p>
          <w:p>
            <w:pPr>
              <w:pStyle w:val="ListBullet"/>
              <w:keepNext w:val="0"/>
              <w:keepLines/>
            </w:pPr>
            <w:r>
              <w:rPr>
                <w:b w:val="0"/>
                <w:i w:val="0"/>
              </w:rPr>
              <w:t>What analysis would be useful?</w:t>
            </w:r>
          </w:p>
        </w:tc>
      </w:tr>
    </w:tbl>
    <w:p>
      <w:pPr>
        <w:spacing w:after="0"/>
      </w:pPr>
    </w:p>
    <w:p>
      <w:pPr>
        <w:pStyle w:val="Heading2"/>
        <w:keepNext/>
        <w:keepLines/>
      </w:pPr>
      <w:r>
        <w:rPr>
          <w:b w:val="0"/>
          <w:i w:val="0"/>
        </w:rPr>
        <w:t>8. Responses or expected elements</w:t>
      </w:r>
    </w:p>
    <w:p>
      <w:pPr>
        <w:keepLines/>
      </w:pPr>
      <w:r>
        <w:rPr>
          <w:b w:val="0"/>
          <w:i w:val="0"/>
        </w:rPr>
        <w:t>No A-E function is expected before integrating the corpus. A successful production contains an independent description, at least two hypotheses, the associated clues, an objection or limit and a means of verification: context of discovery, traces of use, typological comparison, analysis of material, measurement or textual source.</w:t>
      </w:r>
    </w:p>
    <w:p>
      <w:pPr>
        <w:pStyle w:val="Heading2"/>
        <w:keepNext/>
        <w:keepLines/>
      </w:pPr>
      <w:r>
        <w:rPr>
          <w:b w:val="0"/>
          <w:i w:val="0"/>
        </w:rPr>
        <w:t>9. Differentiation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Need</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Help</w:t>
            </w:r>
          </w:p>
        </w:tc>
        <w:tc>
          <w:tcPr>
            <w:tcW w:type="dxa" w:w="7223"/>
            <w:vAlign w:val="center"/>
            <w:tcMar>
              <w:top w:w="90" w:type="dxa"/>
              <w:start w:w="120" w:type="dxa"/>
              <w:bottom w:w="90" w:type="dxa"/>
              <w:end w:w="120" w:type="dxa"/>
            </w:tcMar>
          </w:tcPr>
          <w:p>
            <w:pPr>
              <w:keepNext/>
              <w:keepLines/>
              <w:spacing w:after="40" w:line="252" w:lineRule="auto"/>
            </w:pPr>
            <w:r>
              <w:rPr>
                <w:b w:val="0"/>
                <w:i w:val="0"/>
              </w:rPr>
              <w:t>Work on a single object and provide vocabulary labels.</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Lighten the writing</w:t>
            </w:r>
          </w:p>
        </w:tc>
        <w:tc>
          <w:tcPr>
            <w:tcW w:type="dxa" w:w="7223"/>
            <w:vAlign w:val="center"/>
            <w:tcMar>
              <w:top w:w="90" w:type="dxa"/>
              <w:start w:w="120" w:type="dxa"/>
              <w:bottom w:w="90" w:type="dxa"/>
              <w:end w:w="120" w:type="dxa"/>
            </w:tcMar>
          </w:tcPr>
          <w:p>
            <w:pPr>
              <w:keepNext/>
              <w:keepLines/>
              <w:spacing w:after="40" w:line="252" w:lineRule="auto"/>
            </w:pPr>
            <w:r>
              <w:rPr>
                <w:b w:val="0"/>
                <w:i w:val="0"/>
              </w:rPr>
              <w:t>Classify “I observe/I suppose/I verify” cards.</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Go deeper</w:t>
            </w:r>
          </w:p>
        </w:tc>
        <w:tc>
          <w:tcPr>
            <w:tcW w:type="dxa" w:w="7223"/>
            <w:vAlign w:val="center"/>
            <w:tcMar>
              <w:top w:w="90" w:type="dxa"/>
              <w:start w:w="120" w:type="dxa"/>
              <w:bottom w:w="90" w:type="dxa"/>
              <w:end w:w="120" w:type="dxa"/>
            </w:tcMar>
          </w:tcPr>
          <w:p>
            <w:pPr>
              <w:keepLines/>
              <w:spacing w:after="40" w:line="252" w:lineRule="auto"/>
            </w:pPr>
            <w:r>
              <w:rPr>
                <w:b w:val="0"/>
                <w:i w:val="0"/>
              </w:rPr>
              <w:t>Compare two records and discuss what changes with provenance.</w:t>
            </w:r>
          </w:p>
        </w:tc>
      </w:tr>
    </w:tbl>
    <w:p>
      <w:pPr>
        <w:spacing w:after="0"/>
      </w:pPr>
    </w:p>
    <w:p>
      <w:pPr>
        <w:pStyle w:val="Heading2"/>
        <w:keepNext/>
        <w:keepLines/>
      </w:pPr>
      <w:r>
        <w:rPr>
          <w:b w:val="0"/>
          <w:i w:val="0"/>
        </w:rPr>
        <w:t>10. Museum adaptation</w:t>
      </w:r>
    </w:p>
    <w:p>
      <w:pPr>
        <w:keepLines/>
      </w:pPr>
      <w:r>
        <w:rPr>
          <w:b w:val="0"/>
          <w:i w:val="0"/>
        </w:rPr>
        <w:t>Choose an object adapted to the institution and its actual collections. Observation can be done in the window; a photograph or replica is a possible variation but does not entirely replace the original. Manipulation is only considered if the object can be handled, if the museum rules authorize it and according to the conservation protocol.</w:t>
      </w:r>
    </w:p>
    <w:p>
      <w:pPr>
        <w:pStyle w:val="Heading2"/>
        <w:keepNext/>
        <w:keepLines/>
      </w:pPr>
      <w:r>
        <w:rPr>
          <w:b w:val="0"/>
          <w:i w:val="0"/>
        </w:rPr>
        <w:t>11. Quick assessment</w:t>
      </w:r>
    </w:p>
    <w:p>
      <w:pPr>
        <w:keepLines/>
      </w:pPr>
      <w:r>
        <w:rPr>
          <w:b w:val="0"/>
          <w:i w:val="0"/>
        </w:rPr>
        <w:t>Highlight in a conclusion an observation, a hypothesis and a means of verification. Evaluate the ability to change your mind when the context brings a new clue.</w:t>
      </w:r>
    </w:p>
    <w:p>
      <w:pPr>
        <w:pStyle w:val="Heading2"/>
        <w:keepNext/>
        <w:keepLines/>
      </w:pPr>
      <w:r>
        <w:rPr>
          <w:b w:val="0"/>
          <w:i w:val="0"/>
        </w:rPr>
        <w:t>12. Common mistakes</w:t>
      </w:r>
    </w:p>
    <w:p>
      <w:pPr>
        <w:keepLines/>
        <w:shd w:fill="F7F4EF"/>
        <w:pBdr>
          <w:left w:val="single" w:sz="18" w:space="8" w:color="315F79"/>
        </w:pBdr>
      </w:pPr>
      <w:r>
        <w:rPr>
          <w:b w:val="0"/>
          <w:i w:val="0"/>
        </w:rPr>
        <w:t>Do not assert that a knucklebone was necessarily used for playing, predicting or counting. Do not announce an undocumented museum validation. Do not present a modern digital adaptation as a historical reconstruction.</w:t>
      </w:r>
    </w:p>
    <w:p>
      <w:pPr>
        <w:pStyle w:val="ListBullet"/>
        <w:keepNext/>
        <w:keepLines/>
      </w:pPr>
      <w:r>
        <w:rPr>
          <w:b w:val="0"/>
          <w:i w:val="0"/>
        </w:rPr>
        <w:t>Name the object before describing it.</w:t>
      </w:r>
    </w:p>
    <w:p>
      <w:pPr>
        <w:pStyle w:val="ListBullet"/>
        <w:keepNext/>
        <w:keepLines/>
      </w:pPr>
      <w:r>
        <w:rPr>
          <w:b w:val="0"/>
          <w:i w:val="0"/>
        </w:rPr>
        <w:t>Keep only one hypothesis.</w:t>
      </w:r>
    </w:p>
    <w:p>
      <w:pPr>
        <w:pStyle w:val="ListBullet"/>
        <w:keepNext/>
        <w:keepLines/>
      </w:pPr>
      <w:r>
        <w:rPr>
          <w:b w:val="0"/>
          <w:i w:val="0"/>
        </w:rPr>
        <w:t>Confusing resemblance and same usage.</w:t>
      </w:r>
    </w:p>
    <w:p>
      <w:pPr>
        <w:pStyle w:val="ListBullet"/>
        <w:keepNext w:val="0"/>
        <w:keepLines/>
      </w:pPr>
      <w:r>
        <w:rPr>
          <w:b w:val="0"/>
          <w:i w:val="0"/>
        </w:rPr>
        <w:t>Ignore discovery context.</w:t>
      </w:r>
    </w:p>
    <w:p>
      <w:pPr>
        <w:pStyle w:val="Heading2"/>
        <w:keepNext/>
        <w:keepLines/>
      </w:pPr>
      <w:r>
        <w:rPr>
          <w:b w:val="0"/>
          <w:i w:val="0"/>
        </w:rPr>
        <w:t>13. Sources and limits</w:t>
      </w:r>
    </w:p>
    <w:p>
      <w:pPr>
        <w:keepLines/>
      </w:pPr>
      <w:r>
        <w:rPr>
          <w:b w:val="0"/>
          <w:i w:val="0"/>
        </w:rPr>
        <w:t>The support transposes an archaeological investigation approach: observation, formulation of hypotheses, comparison with the context and comparison. The five Metropolitan Museum of Art images documented as provisional in the redesign are excluded from the PDFs. The coding game is a contemporary extension, not proof of ancient use.</w:t>
      </w:r>
    </w:p>
    <w:p>
      <w:pPr>
        <w:pStyle w:val="Heading2"/>
        <w:keepNext/>
        <w:keepLines/>
      </w:pPr>
      <w:r>
        <w:rPr>
          <w:b w:val="0"/>
          <w:i w:val="0"/>
        </w:rPr>
        <w:t>14. Current status and remaining validations</w:t>
      </w:r>
    </w:p>
    <w:p>
      <w:pPr>
        <w:keepLines/>
        <w:shd w:fill="F7F4EF"/>
        <w:pBdr>
          <w:left w:val="single" w:sz="18" w:space="8" w:color="315F79"/>
        </w:pBdr>
      </w:pPr>
      <w:r>
        <w:rPr>
          <w:b w:val="0"/>
          <w:i w:val="0"/>
        </w:rPr>
        <w:t>Templates and method ready for adult testing. Before a student session, integrate documented A-E objects, check notices and rights, establish the information revealed at each stage and have the corpus validated by scientific and museum managers.</w:t>
      </w:r>
    </w:p>
    <w:p>
      <w:pPr>
        <w:pStyle w:val="Heading2"/>
        <w:keepNext/>
        <w:keepLines/>
      </w:pPr>
      <w:r>
        <w:rPr>
          <w:b w:val="0"/>
          <w:i w:val="0"/>
        </w:rPr>
        <w:t>Print plan</w:t>
      </w:r>
    </w:p>
    <w:p>
      <w:pPr>
        <w:pStyle w:val="ResourceCredit"/>
        <w:spacing w:before="160"/>
      </w:pPr>
      <w:r>
        <w:rPr>
          <w:b/>
        </w:rPr>
        <w:t xml:space="preserve">Traceability : </w:t>
      </w:r>
      <w:hyperlink r:id="rId11">
        <w:r>
          <w:rPr>
            <w:color w:val="315F79"/>
            <w:u w:val="single"/>
          </w:rPr>
          <w:t>https://histoire-d-os.github.io/Histoire-d-os/en/ressources/activite-04-un-os-plusieurs-vies.html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en/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04 - facilitator guide (EN)</dc:title>
  <dc:subject>Pilot educational resource about the talus/astragalus</dc:subject>
  <dc:creator>Histoires d'os</dc:creator>
  <cp:keywords>Histoires d'os, talus, astragale, en, Activity 04</cp:keywords>
  <dc:description>generated by python-docx</dc:description>
  <cp:lastModifiedBy/>
  <cp:revision>1</cp:revision>
  <dcterms:created xsi:type="dcterms:W3CDTF">2013-12-23T23:15:00Z</dcterms:created>
  <dcterms:modified xsi:type="dcterms:W3CDTF">2013-12-23T23:15:00Z</dcterms:modified>
  <cp:category/>
</cp:coreProperties>
</file>