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4</w:t>
      </w:r>
    </w:p>
    <w:p>
      <w:pPr>
        <w:pStyle w:val="Heading1"/>
        <w:keepNext/>
        <w:keepLines/>
      </w:pPr>
      <w:r>
        <w:rPr>
          <w:b w:val="0"/>
          <w:i w:val="0"/>
        </w:rPr>
        <w:t>Correzione del metodo</w:t>
      </w:r>
      <w:r>
        <w:br/>
      </w:r>
      <w:r>
        <w:rPr>
          <w:b w:val="0"/>
          <w:i w:val="0"/>
        </w:rPr>
        <w:t>Un osso, molte vite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Indicazioni per la correzione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Insegnanti e mediatori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Raggruppamento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Correzione del ragionamento: in questa versione non sono definite le funzioni da A a E.</w:t>
      </w:r>
    </w:p>
    <w:p>
      <w:pPr>
        <w:pStyle w:val="Heading2"/>
        <w:keepNext/>
        <w:keepLines/>
      </w:pPr>
      <w:r>
        <w:rPr>
          <w:b w:val="0"/>
          <w:i w:val="0"/>
        </w:rPr>
        <w:t>Griglia di correzione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Passo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Previsto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Esempio accettabile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 rivedere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Osservazione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Caratteristiche visibili o misurabili.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“Superficie lucida su un lato”.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“Oggetto del gioco”.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Ipotesi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Almeno due possibilità distinte.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Usura legata all'uso o alla naturale trasformazione.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Solo una certa funzione.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Interpretazione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indizi collegato a ciascuna proposta.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Forma, tracce, materia e confronto.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Solo somiglianza.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Verifica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Dati in grado di decidere tra i lead.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Contesto, analisi, misurazione, riferimento.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Nuova ipotesi.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Conclusione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Affermato, plausibile e sconosciuto distinto.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La proposta resta rivedibile.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Il dubbio è cancellato.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Promemoria utili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Quando un'idea arriva troppo in fretta</w:t>
            </w:r>
          </w:p>
          <w:p>
            <w:pPr>
              <w:keepLines/>
            </w:pPr>
            <w:r>
              <w:rPr>
                <w:b w:val="0"/>
                <w:i w:val="0"/>
              </w:rPr>
              <w:t>"Cosa hai visto esattamente?" Puoi scrivere la stessa frase senza nominare la funzione?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Quando il gruppo si blocca</w:t>
            </w:r>
          </w:p>
          <w:p>
            <w:pPr>
              <w:keepLines/>
            </w:pPr>
            <w:r>
              <w:rPr>
                <w:b w:val="0"/>
                <w:i w:val="0"/>
              </w:rPr>
              <w:t>"Quale altra storia spiegherebbe la stessa traccia? Quali informazioni ci permetterebbero di scegliere?"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Cosa non contiene la correzione</w:t>
      </w:r>
    </w:p>
    <w:p>
      <w:pPr>
        <w:keepLines/>
      </w:pPr>
      <w:r>
        <w:rPr>
          <w:b w:val="0"/>
          <w:i w:val="0"/>
        </w:rPr>
        <w:t>Non esiste una tabella “A=gioco, B=divinazione…”: gli oggetti non sono ancora stati selezionati né validati. Anche con un corpus definitivo, alcune funzioni potrebbero rimanere dibattute. La chiave di risposta dovrebbe presentare indizi, fonti e grado di confidenza piuttosto che una risposta semplificata.</w:t>
      </w:r>
    </w:p>
    <w:p>
      <w:pPr>
        <w:pStyle w:val="Heading2"/>
        <w:keepNext/>
        <w:keepLines/>
      </w:pPr>
      <w:r>
        <w:rPr>
          <w:b w:val="0"/>
          <w:i w:val="0"/>
        </w:rPr>
        <w:t>Estensione digitale</w:t>
      </w:r>
    </w:p>
    <w:p>
      <w:pPr>
        <w:keepLines/>
      </w:pPr>
      <w:r>
        <w:rPr>
          <w:b w:val="0"/>
          <w:i w:val="0"/>
        </w:rPr>
        <w:t>Il gioco “Coding with the knucklebone” può ampliare la discussione sull'uso tecnico contemporaneo. Deve essere presentato come una creazione educativa moderna, non come la ricostruzione di una pratica antica documentata.</w:t>
      </w:r>
    </w:p>
    <w:p>
      <w:pPr>
        <w:keepLines/>
        <w:shd w:fill="F7F4EF"/>
        <w:pBdr>
          <w:left w:val="single" w:sz="18" w:space="8" w:color="315F79"/>
        </w:pBdr>
      </w:pPr>
      <w:r>
        <w:rPr>
          <w:b w:val="0"/>
          <w:i w:val="0"/>
        </w:rPr>
        <w:t>Completare questa correzione solo dopo la validazione degli oggetti, degli avvisi, dei diritti e delle interpretazioni da parte dei responsabili scientifici e museali.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315F79"/>
            <w:u w:val="single"/>
          </w:rPr>
          <w:t>https://histoire-d-os.github.io/Histoire-d-os/it/ressources/activite-04-un-os-plusieurs-vies.html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04 - indicazioni per la correzione (IT)</dc:title>
  <dc:subject>Risorsa educativa pilota sul talo/astragalo</dc:subject>
  <dc:creator>Histoires d'os</dc:creator>
  <cp:keywords>Histoires d'os, talus, astragale, it, Attività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