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Storie di ossa - Attività 4</w:t>
      </w:r>
    </w:p>
    <w:p>
      <w:pPr>
        <w:pStyle w:val="Heading1"/>
        <w:keepNext/>
        <w:keepLines/>
      </w:pPr>
      <w:r>
        <w:rPr>
          <w:b w:val="0"/>
          <w:i w:val="0"/>
        </w:rPr>
        <w:t>Guida per la conduzione</w:t>
      </w:r>
      <w:r>
        <w:br/>
      </w:r>
      <w:r>
        <w:rPr>
          <w:b w:val="0"/>
          <w:i w:val="0"/>
        </w:rPr>
        <w:t>Un osso, molte vite</w:t>
      </w:r>
    </w:p>
    <w:p>
      <w:pPr>
        <w:keepLines/>
      </w:pPr>
      <w:r>
        <w:rPr>
          <w:b w:val="0"/>
          <w:i w:val="0"/>
        </w:rPr>
        <w:t>Guida per condurre un'indagine sui possibili usi di un oggetto senza annunciarne una funzione definitiva.</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Tipo</w:t>
            </w:r>
          </w:p>
          <w:p>
            <w:r>
              <w:rPr>
                <w:b w:val="0"/>
                <w:i w:val="0"/>
              </w:rPr>
              <w:t>Guida per la conduzione</w:t>
            </w:r>
          </w:p>
        </w:tc>
        <w:tc>
          <w:tcPr>
            <w:tcW w:type="dxa" w:w="2579"/>
            <w:shd w:fill="F0F1EE"/>
            <w:tcMar>
              <w:top w:w="90" w:type="dxa"/>
              <w:start w:w="120" w:type="dxa"/>
              <w:bottom w:w="90" w:type="dxa"/>
              <w:end w:w="120" w:type="dxa"/>
            </w:tcMar>
          </w:tcPr>
          <w:p>
            <w:pPr>
              <w:pStyle w:val="ResourceCredit"/>
            </w:pPr>
            <w:r>
              <w:rPr>
                <w:b/>
                <w:i w:val="0"/>
              </w:rPr>
              <w:t>Pubblico</w:t>
            </w:r>
          </w:p>
          <w:p>
            <w:r>
              <w:rPr>
                <w:b w:val="0"/>
                <w:i w:val="0"/>
              </w:rPr>
              <w:t>Adulti responsabili</w:t>
            </w:r>
          </w:p>
        </w:tc>
        <w:tc>
          <w:tcPr>
            <w:tcW w:type="dxa" w:w="2579"/>
            <w:shd w:fill="F0F1EE"/>
            <w:tcMar>
              <w:top w:w="90" w:type="dxa"/>
              <w:start w:w="120" w:type="dxa"/>
              <w:bottom w:w="90" w:type="dxa"/>
              <w:end w:w="120" w:type="dxa"/>
            </w:tcMar>
          </w:tcPr>
          <w:p>
            <w:pPr>
              <w:pStyle w:val="ResourceCredit"/>
            </w:pPr>
            <w:r>
              <w:rPr>
                <w:b/>
                <w:i w:val="0"/>
              </w:rPr>
              <w:t>Durata</w:t>
            </w:r>
          </w:p>
          <w:p>
            <w:r>
              <w:rPr>
                <w:b w:val="0"/>
                <w:i w:val="0"/>
              </w:rPr>
              <w:t>45-75 minuti</w:t>
            </w:r>
          </w:p>
        </w:tc>
        <w:tc>
          <w:tcPr>
            <w:tcW w:type="dxa" w:w="2581"/>
            <w:shd w:fill="F0F1EE"/>
            <w:tcMar>
              <w:top w:w="90" w:type="dxa"/>
              <w:start w:w="120" w:type="dxa"/>
              <w:bottom w:w="90" w:type="dxa"/>
              <w:end w:w="120" w:type="dxa"/>
            </w:tcMar>
          </w:tcPr>
          <w:p>
            <w:pPr>
              <w:pStyle w:val="ResourceCredit"/>
            </w:pPr>
            <w:r>
              <w:rPr>
                <w:b/>
                <w:i w:val="0"/>
              </w:rPr>
              <w:t>Versione</w:t>
            </w:r>
          </w:p>
          <w:p>
            <w:r>
              <w:rPr>
                <w:b w:val="0"/>
                <w:i w:val="0"/>
              </w:rPr>
              <w:t>Pilota 1.0</w:t>
            </w:r>
          </w:p>
        </w:tc>
      </w:tr>
    </w:tbl>
    <w:p>
      <w:pPr>
        <w:keepLines/>
      </w:pPr>
      <w:r>
        <w:rPr>
          <w:b w:val="0"/>
          <w:i w:val="0"/>
        </w:rPr>
        <w:t>Prototipo prudente: gli oggetti da A a E e le relative istruzioni devono ancora essere integrati.</w:t>
      </w:r>
    </w:p>
    <w:p>
      <w:pPr>
        <w:pStyle w:val="Heading2"/>
        <w:keepNext/>
        <w:keepLines/>
      </w:pPr>
      <w:r>
        <w:rPr>
          <w:b w:val="0"/>
          <w:i w:val="0"/>
        </w:rPr>
        <w:t>1. In breve</w:t>
      </w:r>
    </w:p>
    <w:p>
      <w:pPr>
        <w:keepLines/>
      </w:pPr>
      <w:r>
        <w:rPr>
          <w:b w:val="0"/>
          <w:i w:val="0"/>
        </w:rPr>
        <w:t>Gli studenti descrivono un oggetto senza attribuirgli un uso, formulano almeno due ipotesi, scelgono gli indizi che li supportano quindi elencano le informazioni necessarie per decidere tra loro. Le carte dalla A alla E sono modelli: l'attività diventa pienamente utilizzabile dopo aver aggiunto un corpus validato.</w:t>
      </w:r>
    </w:p>
    <w:p>
      <w:pPr>
        <w:pStyle w:val="Heading2"/>
        <w:keepNext/>
        <w:keepLines/>
      </w:pPr>
      <w:r>
        <w:rPr>
          <w:b w:val="0"/>
          <w:i w:val="0"/>
        </w:rPr>
        <w:t>2. Obiettivi</w:t>
      </w:r>
    </w:p>
    <w:p>
      <w:pPr>
        <w:pStyle w:val="ListBullet"/>
        <w:keepNext/>
        <w:keepLines/>
      </w:pPr>
      <w:r>
        <w:rPr>
          <w:b w:val="0"/>
          <w:i w:val="0"/>
        </w:rPr>
        <w:t>Distinguere osservazione, ipotesi, interpretazione e verifica.</w:t>
      </w:r>
    </w:p>
    <w:p>
      <w:pPr>
        <w:pStyle w:val="ListBullet"/>
        <w:keepNext/>
        <w:keepLines/>
      </w:pPr>
      <w:r>
        <w:rPr>
          <w:b w:val="0"/>
          <w:i w:val="0"/>
        </w:rPr>
        <w:t>Descrivere materiale, forma, dimensioni e tracce visibili.</w:t>
      </w:r>
    </w:p>
    <w:p>
      <w:pPr>
        <w:pStyle w:val="ListBullet"/>
        <w:keepNext/>
        <w:keepLines/>
      </w:pPr>
      <w:r>
        <w:rPr>
          <w:b w:val="0"/>
          <w:i w:val="0"/>
        </w:rPr>
        <w:t>Proporre diversi possibili usi da indizi.</w:t>
      </w:r>
    </w:p>
    <w:p>
      <w:pPr>
        <w:pStyle w:val="ListBullet"/>
        <w:keepNext w:val="0"/>
        <w:keepLines/>
      </w:pPr>
      <w:r>
        <w:rPr>
          <w:b w:val="0"/>
          <w:i w:val="0"/>
        </w:rPr>
        <w:t>Comprendere il ruolo del contesto archeologico e documentario.</w:t>
      </w:r>
    </w:p>
    <w:p>
      <w:pPr>
        <w:pStyle w:val="Heading2"/>
        <w:keepNext/>
        <w:keepLines/>
      </w:pPr>
      <w:r>
        <w:rPr>
          <w:b w:val="0"/>
          <w:i w:val="0"/>
        </w:rPr>
        <w:t>3. Successo atteso</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Riuscito</w:t>
            </w:r>
          </w:p>
          <w:p>
            <w:pPr>
              <w:keepLines/>
            </w:pPr>
            <w:r>
              <w:rPr>
                <w:b w:val="0"/>
                <w:i w:val="0"/>
              </w:rPr>
              <w:t>Due ipotesi sono legate a indizi e ai mezzi di verifica.</w:t>
            </w:r>
          </w:p>
        </w:tc>
        <w:tc>
          <w:tcPr>
            <w:tcW w:type="dxa" w:w="3439"/>
            <w:vAlign w:val="top"/>
            <w:shd w:fill="F7F4EF"/>
            <w:tcMar>
              <w:top w:w="90" w:type="dxa"/>
              <w:start w:w="120" w:type="dxa"/>
              <w:bottom w:w="90" w:type="dxa"/>
              <w:end w:w="120" w:type="dxa"/>
            </w:tcMar>
          </w:tcPr>
          <w:p>
            <w:pPr>
              <w:pStyle w:val="Heading3"/>
              <w:keepLines/>
            </w:pPr>
            <w:r>
              <w:rPr>
                <w:b w:val="0"/>
                <w:i w:val="0"/>
              </w:rPr>
              <w:t>In corso</w:t>
            </w:r>
          </w:p>
          <w:p>
            <w:pPr>
              <w:keepLines/>
            </w:pPr>
            <w:r>
              <w:rPr>
                <w:b w:val="0"/>
                <w:i w:val="0"/>
              </w:rPr>
              <w:t>Le ipotesi sono distinte, ma gli indizi restano imprecisi.</w:t>
            </w:r>
          </w:p>
        </w:tc>
        <w:tc>
          <w:tcPr>
            <w:tcW w:type="dxa" w:w="3440"/>
            <w:vAlign w:val="top"/>
            <w:shd w:fill="F7F4EF"/>
            <w:tcMar>
              <w:top w:w="90" w:type="dxa"/>
              <w:start w:w="120" w:type="dxa"/>
              <w:bottom w:w="90" w:type="dxa"/>
              <w:end w:w="120" w:type="dxa"/>
            </w:tcMar>
          </w:tcPr>
          <w:p>
            <w:pPr>
              <w:pStyle w:val="Heading3"/>
              <w:keepLines/>
            </w:pPr>
            <w:r>
              <w:rPr>
                <w:b w:val="0"/>
                <w:i w:val="0"/>
              </w:rPr>
              <w:t>Da rivedere</w:t>
            </w:r>
          </w:p>
          <w:p>
            <w:pPr>
              <w:keepLines/>
            </w:pPr>
            <w:r>
              <w:rPr>
                <w:b w:val="0"/>
                <w:i w:val="0"/>
              </w:rPr>
              <w:t>La funzione è annunciata come certa fin dalla prima osservazione.</w:t>
            </w:r>
          </w:p>
        </w:tc>
      </w:tr>
    </w:tbl>
    <w:p>
      <w:pPr>
        <w:spacing w:after="0"/>
      </w:pPr>
    </w:p>
    <w:p>
      <w:pPr>
        <w:pStyle w:val="Heading2"/>
        <w:keepNext/>
        <w:keepLines/>
      </w:pPr>
      <w:r>
        <w:rPr>
          <w:b w:val="0"/>
          <w:i w:val="0"/>
        </w:rPr>
        <w:t>4. Durata e materiale</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Contesto</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Durata</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minuti</w:t>
            </w:r>
          </w:p>
        </w:tc>
        <w:tc>
          <w:tcPr>
            <w:tcW w:type="dxa" w:w="3921"/>
            <w:vAlign w:val="center"/>
            <w:tcMar>
              <w:top w:w="90" w:type="dxa"/>
              <w:start w:w="120" w:type="dxa"/>
              <w:bottom w:w="90" w:type="dxa"/>
              <w:end w:w="120" w:type="dxa"/>
            </w:tcMar>
          </w:tcPr>
          <w:p>
            <w:pPr>
              <w:keepNext/>
              <w:keepLines/>
              <w:spacing w:after="40" w:line="252" w:lineRule="auto"/>
            </w:pPr>
            <w:r>
              <w:rPr>
                <w:b w:val="0"/>
                <w:i w:val="0"/>
              </w:rPr>
              <w:t>Foglio, carte A-E, fotografie o repliche convalidate.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Museo</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minuti</w:t>
            </w:r>
          </w:p>
        </w:tc>
        <w:tc>
          <w:tcPr>
            <w:tcW w:type="dxa" w:w="3921"/>
            <w:vAlign w:val="center"/>
            <w:tcMar>
              <w:top w:w="90" w:type="dxa"/>
              <w:start w:w="120" w:type="dxa"/>
              <w:bottom w:w="90" w:type="dxa"/>
              <w:end w:w="120" w:type="dxa"/>
            </w:tcMar>
          </w:tcPr>
          <w:p>
            <w:pPr>
              <w:keepLines/>
              <w:spacing w:after="40" w:line="252" w:lineRule="auto"/>
            </w:pPr>
            <w:r>
              <w:rPr>
                <w:b w:val="0"/>
                <w:i w:val="0"/>
              </w:rPr>
              <w:t>Oggetto in esposizione, riproduzione o oggetto manipolabile autorizzato.</w:t>
            </w:r>
          </w:p>
        </w:tc>
      </w:tr>
    </w:tbl>
    <w:p>
      <w:pPr>
        <w:spacing w:after="0"/>
      </w:pPr>
    </w:p>
    <w:p>
      <w:pPr>
        <w:pStyle w:val="Heading2"/>
        <w:keepNext/>
        <w:keepLines/>
      </w:pPr>
      <w:r>
        <w:rPr>
          <w:b w:val="0"/>
          <w:i w:val="0"/>
        </w:rPr>
        <w:t>5. Preparazione rapida</w:t>
      </w:r>
    </w:p>
    <w:p>
      <w:pPr>
        <w:keepLines/>
        <w:shd w:fill="F7F4EF"/>
        <w:pBdr>
          <w:left w:val="single" w:sz="18" w:space="8" w:color="315F79"/>
        </w:pBdr>
      </w:pPr>
      <w:r>
        <w:rPr>
          <w:b w:val="0"/>
          <w:i w:val="0"/>
        </w:rPr>
        <w:t>Seleziona da uno a cinque oggetti documentati. Completa le carte senza scrivere una funzione come titolo. Mantieni nascosti i dati di contesto fino alla fase di verifica. Adeguare il protocollo alle regole dell'istituzione.</w:t>
      </w:r>
    </w:p>
    <w:p>
      <w:pPr>
        <w:keepLines/>
        <w:shd w:fill="F7F4EF"/>
        <w:pBdr>
          <w:left w:val="single" w:sz="18" w:space="8" w:color="315F79"/>
        </w:pBdr>
      </w:pPr>
      <w:r>
        <w:rPr>
          <w:b w:val="0"/>
          <w:i w:val="0"/>
        </w:rPr>
        <w:t>"Iniziare da ciò che è visibile. Un'ipotesi è una proposizione da verificare, non una risposta certa. »</w:t>
      </w:r>
    </w:p>
    <w:p>
      <w:pPr>
        <w:pStyle w:val="Heading2"/>
        <w:keepNext/>
        <w:keepLines/>
      </w:pPr>
      <w:r>
        <w:rPr>
          <w:b w:val="0"/>
          <w:i w:val="0"/>
        </w:rPr>
        <w:t>6. Procedura dettagliata</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Tempo</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Azione adulta</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Azione degli studenti</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Scopo</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Presentare l'oggetto senza funzione.</w:t>
            </w:r>
          </w:p>
        </w:tc>
        <w:tc>
          <w:tcPr>
            <w:tcW w:type="dxa" w:w="2889"/>
            <w:vAlign w:val="center"/>
            <w:tcMar>
              <w:top w:w="90" w:type="dxa"/>
              <w:start w:w="120" w:type="dxa"/>
              <w:bottom w:w="90" w:type="dxa"/>
              <w:end w:w="120" w:type="dxa"/>
            </w:tcMar>
          </w:tcPr>
          <w:p>
            <w:pPr>
              <w:keepNext/>
              <w:keepLines/>
              <w:spacing w:after="40" w:line="252" w:lineRule="auto"/>
            </w:pPr>
            <w:r>
              <w:rPr>
                <w:b w:val="0"/>
                <w:i w:val="0"/>
              </w:rPr>
              <w:t>Scrivi una prima impressione.</w:t>
            </w:r>
          </w:p>
        </w:tc>
        <w:tc>
          <w:tcPr>
            <w:tcW w:type="dxa" w:w="2683"/>
            <w:vAlign w:val="center"/>
            <w:tcMar>
              <w:top w:w="90" w:type="dxa"/>
              <w:start w:w="120" w:type="dxa"/>
              <w:bottom w:w="90" w:type="dxa"/>
              <w:end w:w="120" w:type="dxa"/>
            </w:tcMar>
          </w:tcPr>
          <w:p>
            <w:pPr>
              <w:keepNext/>
              <w:keepLines/>
              <w:spacing w:after="40" w:line="252" w:lineRule="auto"/>
            </w:pPr>
            <w:r>
              <w:rPr>
                <w:b w:val="0"/>
                <w:i w:val="0"/>
              </w:rPr>
              <w:t>Tira fuori le idee iniziali.</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Bandire temporaneamente le parole comuni.</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Descrivere materiale, forma, tracce, dimensioni.</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Installa l'osservazione.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Chiedi almeno due ipotesi.</w:t>
            </w:r>
          </w:p>
        </w:tc>
        <w:tc>
          <w:tcPr>
            <w:tcW w:type="dxa" w:w="2889"/>
            <w:vAlign w:val="center"/>
            <w:tcMar>
              <w:top w:w="90" w:type="dxa"/>
              <w:start w:w="120" w:type="dxa"/>
              <w:bottom w:w="90" w:type="dxa"/>
              <w:end w:w="120" w:type="dxa"/>
            </w:tcMar>
          </w:tcPr>
          <w:p>
            <w:pPr>
              <w:keepNext/>
              <w:keepLines/>
              <w:spacing w:after="40" w:line="252" w:lineRule="auto"/>
            </w:pPr>
            <w:r>
              <w:rPr>
                <w:b w:val="0"/>
                <w:i w:val="0"/>
              </w:rPr>
              <w:t>Collega ciascuno a indizi.</w:t>
            </w:r>
          </w:p>
        </w:tc>
        <w:tc>
          <w:tcPr>
            <w:tcW w:type="dxa" w:w="2683"/>
            <w:vAlign w:val="center"/>
            <w:tcMar>
              <w:top w:w="90" w:type="dxa"/>
              <w:start w:w="120" w:type="dxa"/>
              <w:bottom w:w="90" w:type="dxa"/>
              <w:end w:w="120" w:type="dxa"/>
            </w:tcMar>
          </w:tcPr>
          <w:p>
            <w:pPr>
              <w:keepNext/>
              <w:keepLines/>
              <w:spacing w:after="40" w:line="252" w:lineRule="auto"/>
            </w:pPr>
            <w:r>
              <w:rPr>
                <w:b w:val="0"/>
                <w:i w:val="0"/>
              </w:rPr>
              <w:t>Apri molteplici interpretazioni.</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Distribuire dati di contesto convalidati.</w:t>
            </w:r>
          </w:p>
        </w:tc>
        <w:tc>
          <w:tcPr>
            <w:tcW w:type="dxa" w:w="2889"/>
            <w:vAlign w:val="center"/>
            <w:tcMar>
              <w:top w:w="90" w:type="dxa"/>
              <w:start w:w="120" w:type="dxa"/>
              <w:bottom w:w="90" w:type="dxa"/>
              <w:end w:w="120" w:type="dxa"/>
            </w:tcMar>
          </w:tcPr>
          <w:p>
            <w:pPr>
              <w:keepNext/>
              <w:keepLines/>
              <w:spacing w:after="40" w:line="252" w:lineRule="auto"/>
            </w:pPr>
            <w:r>
              <w:rPr>
                <w:b w:val="0"/>
                <w:i w:val="0"/>
              </w:rPr>
              <w:t>Conferma, qualifica o ignora i lead.</w:t>
            </w:r>
          </w:p>
        </w:tc>
        <w:tc>
          <w:tcPr>
            <w:tcW w:type="dxa" w:w="2683"/>
            <w:vAlign w:val="center"/>
            <w:tcMar>
              <w:top w:w="90" w:type="dxa"/>
              <w:start w:w="120" w:type="dxa"/>
              <w:bottom w:w="90" w:type="dxa"/>
              <w:end w:w="120" w:type="dxa"/>
            </w:tcMar>
          </w:tcPr>
          <w:p>
            <w:pPr>
              <w:keepNext/>
              <w:keepLines/>
              <w:spacing w:after="40" w:line="252" w:lineRule="auto"/>
            </w:pPr>
            <w:r>
              <w:rPr>
                <w:b w:val="0"/>
                <w:i w:val="0"/>
              </w:rPr>
              <w:t>Verificare le ipotesi.</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Condurre una conclusione collettiva.</w:t>
            </w:r>
          </w:p>
        </w:tc>
        <w:tc>
          <w:tcPr>
            <w:tcW w:type="dxa" w:w="2889"/>
            <w:vAlign w:val="center"/>
            <w:tcMar>
              <w:top w:w="90" w:type="dxa"/>
              <w:start w:w="120" w:type="dxa"/>
              <w:bottom w:w="90" w:type="dxa"/>
              <w:end w:w="120" w:type="dxa"/>
            </w:tcMar>
          </w:tcPr>
          <w:p>
            <w:pPr>
              <w:keepNext/>
              <w:keepLines/>
              <w:spacing w:after="40" w:line="252" w:lineRule="auto"/>
            </w:pPr>
            <w:r>
              <w:rPr>
                <w:b w:val="0"/>
                <w:i w:val="0"/>
              </w:rPr>
              <w:t>Classificare stabilito, plausibile e sconosciuto.</w:t>
            </w:r>
          </w:p>
        </w:tc>
        <w:tc>
          <w:tcPr>
            <w:tcW w:type="dxa" w:w="2683"/>
            <w:vAlign w:val="center"/>
            <w:tcMar>
              <w:top w:w="90" w:type="dxa"/>
              <w:start w:w="120" w:type="dxa"/>
              <w:bottom w:w="90" w:type="dxa"/>
              <w:end w:w="120" w:type="dxa"/>
            </w:tcMar>
          </w:tcPr>
          <w:p>
            <w:pPr>
              <w:keepLines/>
              <w:spacing w:after="40" w:line="252" w:lineRule="auto"/>
            </w:pPr>
            <w:r>
              <w:rPr>
                <w:b w:val="0"/>
                <w:i w:val="0"/>
              </w:rPr>
              <w:t>Concludere con cautela.</w:t>
            </w:r>
          </w:p>
        </w:tc>
      </w:tr>
    </w:tbl>
    <w:p>
      <w:pPr>
        <w:spacing w:after="0"/>
      </w:pPr>
    </w:p>
    <w:p>
      <w:pPr>
        <w:pStyle w:val="Heading2"/>
        <w:keepNext/>
        <w:keepLines/>
      </w:pPr>
      <w:r>
        <w:rPr>
          <w:b w:val="0"/>
          <w:i w:val="0"/>
        </w:rPr>
        <w:t>7. Domande e promemoria</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Osserva</w:t>
            </w:r>
          </w:p>
          <w:p>
            <w:pPr>
              <w:pStyle w:val="ListBullet"/>
              <w:keepNext/>
              <w:keepLines/>
            </w:pPr>
            <w:r>
              <w:rPr>
                <w:b w:val="0"/>
                <w:i w:val="0"/>
              </w:rPr>
              <w:t>Cosa puoi misurare?</w:t>
            </w:r>
          </w:p>
          <w:p>
            <w:pPr>
              <w:pStyle w:val="ListBullet"/>
              <w:keepNext/>
              <w:keepLines/>
            </w:pPr>
            <w:r>
              <w:rPr>
                <w:b w:val="0"/>
                <w:i w:val="0"/>
              </w:rPr>
              <w:t>Quali tracce sono visibili?</w:t>
            </w:r>
          </w:p>
          <w:p>
            <w:pPr>
              <w:pStyle w:val="ListBullet"/>
              <w:keepNext w:val="0"/>
              <w:keepLines/>
            </w:pPr>
            <w:r>
              <w:rPr>
                <w:b w:val="0"/>
                <w:i w:val="0"/>
              </w:rPr>
              <w:t>Cosa non mostra questo vista?</w:t>
            </w:r>
          </w:p>
        </w:tc>
        <w:tc>
          <w:tcPr>
            <w:tcW w:type="dxa" w:w="5159"/>
            <w:vAlign w:val="top"/>
            <w:shd w:fill="F7F4EF"/>
            <w:tcMar>
              <w:top w:w="90" w:type="dxa"/>
              <w:start w:w="120" w:type="dxa"/>
              <w:bottom w:w="90" w:type="dxa"/>
              <w:end w:w="120" w:type="dxa"/>
            </w:tcMar>
          </w:tcPr>
          <w:p>
            <w:pPr>
              <w:pStyle w:val="Heading3"/>
              <w:keepLines/>
            </w:pPr>
            <w:r>
              <w:rPr>
                <w:b w:val="0"/>
                <w:i w:val="0"/>
              </w:rPr>
              <w:t>Controlla</w:t>
            </w:r>
          </w:p>
          <w:p>
            <w:pPr>
              <w:pStyle w:val="ListBullet"/>
              <w:keepNext/>
              <w:keepLines/>
            </w:pPr>
            <w:r>
              <w:rPr>
                <w:b w:val="0"/>
                <w:i w:val="0"/>
              </w:rPr>
              <w:t>Quale contesto deciderebbe tra le ipotesi?</w:t>
            </w:r>
          </w:p>
          <w:p>
            <w:pPr>
              <w:pStyle w:val="ListBullet"/>
              <w:keepNext/>
              <w:keepLines/>
            </w:pPr>
            <w:r>
              <w:rPr>
                <w:b w:val="0"/>
                <w:i w:val="0"/>
              </w:rPr>
              <w:t>Con quale oggetto di riferimento confrontare?</w:t>
            </w:r>
          </w:p>
          <w:p>
            <w:pPr>
              <w:pStyle w:val="ListBullet"/>
              <w:keepNext w:val="0"/>
              <w:keepLines/>
            </w:pPr>
            <w:r>
              <w:rPr>
                <w:b w:val="0"/>
                <w:i w:val="0"/>
              </w:rPr>
              <w:t>Quale analisi sarebbe utile?</w:t>
            </w:r>
          </w:p>
        </w:tc>
      </w:tr>
    </w:tbl>
    <w:p>
      <w:pPr>
        <w:spacing w:after="0"/>
      </w:pPr>
    </w:p>
    <w:p>
      <w:pPr>
        <w:pStyle w:val="Heading2"/>
        <w:keepNext/>
        <w:keepLines/>
      </w:pPr>
      <w:r>
        <w:rPr>
          <w:b w:val="0"/>
          <w:i w:val="0"/>
        </w:rPr>
        <w:t>8. Risposte o elementi attesi</w:t>
      </w:r>
    </w:p>
    <w:p>
      <w:pPr>
        <w:keepLines/>
      </w:pPr>
      <w:r>
        <w:rPr>
          <w:b w:val="0"/>
          <w:i w:val="0"/>
        </w:rPr>
        <w:t>Non è prevista alcuna funzione A-E prima dell’integrazione del corpus. Una produzione riuscita contiene una descrizione indipendente, almeno due ipotesi, le associate indizi, un'obiezione o limite e un mezzo di verifica: contesto di ritrovamento, tracce d'uso, confronto tipologico, analisi del materiale, misurazione o fonte testuale.</w:t>
      </w:r>
    </w:p>
    <w:p>
      <w:pPr>
        <w:pStyle w:val="Heading2"/>
        <w:keepNext/>
        <w:keepLines/>
      </w:pPr>
      <w:r>
        <w:rPr>
          <w:b w:val="0"/>
          <w:i w:val="0"/>
        </w:rPr>
        <w:t>9. Differenziazione</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Bisogno</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Adattamento</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Aiuto</w:t>
            </w:r>
          </w:p>
        </w:tc>
        <w:tc>
          <w:tcPr>
            <w:tcW w:type="dxa" w:w="7223"/>
            <w:vAlign w:val="center"/>
            <w:tcMar>
              <w:top w:w="90" w:type="dxa"/>
              <w:start w:w="120" w:type="dxa"/>
              <w:bottom w:w="90" w:type="dxa"/>
              <w:end w:w="120" w:type="dxa"/>
            </w:tcMar>
          </w:tcPr>
          <w:p>
            <w:pPr>
              <w:keepNext/>
              <w:keepLines/>
              <w:spacing w:after="40" w:line="252" w:lineRule="auto"/>
            </w:pPr>
            <w:r>
              <w:rPr>
                <w:b w:val="0"/>
                <w:i w:val="0"/>
              </w:rPr>
              <w:t>Lavora su un singolo oggetto e fornisci etichette di vocabolario.</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Alleggerisci la scrittura</w:t>
            </w:r>
          </w:p>
        </w:tc>
        <w:tc>
          <w:tcPr>
            <w:tcW w:type="dxa" w:w="7223"/>
            <w:vAlign w:val="center"/>
            <w:tcMar>
              <w:top w:w="90" w:type="dxa"/>
              <w:start w:w="120" w:type="dxa"/>
              <w:bottom w:w="90" w:type="dxa"/>
              <w:end w:w="120" w:type="dxa"/>
            </w:tcMar>
          </w:tcPr>
          <w:p>
            <w:pPr>
              <w:keepNext/>
              <w:keepLines/>
              <w:spacing w:after="40" w:line="252" w:lineRule="auto"/>
            </w:pPr>
            <w:r>
              <w:rPr>
                <w:b w:val="0"/>
                <w:i w:val="0"/>
              </w:rPr>
              <w:t>Classificare le carte “Osservo/Suppongo/Verifico”.</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Vai più in profondità</w:t>
            </w:r>
          </w:p>
        </w:tc>
        <w:tc>
          <w:tcPr>
            <w:tcW w:type="dxa" w:w="7223"/>
            <w:vAlign w:val="center"/>
            <w:tcMar>
              <w:top w:w="90" w:type="dxa"/>
              <w:start w:w="120" w:type="dxa"/>
              <w:bottom w:w="90" w:type="dxa"/>
              <w:end w:w="120" w:type="dxa"/>
            </w:tcMar>
          </w:tcPr>
          <w:p>
            <w:pPr>
              <w:keepLines/>
              <w:spacing w:after="40" w:line="252" w:lineRule="auto"/>
            </w:pPr>
            <w:r>
              <w:rPr>
                <w:b w:val="0"/>
                <w:i w:val="0"/>
              </w:rPr>
              <w:t>Confronta due documenti e discuti cosa cambia con la provenienza.</w:t>
            </w:r>
          </w:p>
        </w:tc>
      </w:tr>
    </w:tbl>
    <w:p>
      <w:pPr>
        <w:spacing w:after="0"/>
      </w:pPr>
    </w:p>
    <w:p>
      <w:pPr>
        <w:pStyle w:val="Heading2"/>
        <w:keepNext/>
        <w:keepLines/>
      </w:pPr>
      <w:r>
        <w:rPr>
          <w:b w:val="0"/>
          <w:i w:val="0"/>
        </w:rPr>
        <w:t>10. Adeguamento museale</w:t>
      </w:r>
    </w:p>
    <w:p>
      <w:pPr>
        <w:keepLines/>
      </w:pPr>
      <w:r>
        <w:rPr>
          <w:b w:val="0"/>
          <w:i w:val="0"/>
        </w:rPr>
        <w:t>Scegli un oggetto adatto all'istituzione e alle sue collezioni attuali. L'osservazione può essere effettuata dalla finestra; una fotografia o una replica è una possibile variazione ma non sostituisce completamente l'originale. La manipolazione è considerata solo se l'oggetto è manipolabile, se il regolamento del museo lo autorizza e secondo il protocollo di conservazione.</w:t>
      </w:r>
    </w:p>
    <w:p>
      <w:pPr>
        <w:pStyle w:val="Heading2"/>
        <w:keepNext/>
        <w:keepLines/>
      </w:pPr>
      <w:r>
        <w:rPr>
          <w:b w:val="0"/>
          <w:i w:val="0"/>
        </w:rPr>
        <w:t>11. Valutazione rapida</w:t>
      </w:r>
    </w:p>
    <w:p>
      <w:pPr>
        <w:keepLines/>
      </w:pPr>
      <w:r>
        <w:rPr>
          <w:b w:val="0"/>
          <w:i w:val="0"/>
        </w:rPr>
        <w:t>Evidenziare in una conclusione un'osservazione, un'ipotesi e un mezzo di verifica. Valuta la capacità di cambiare idea quando il contesto porta un nuovo indizio.</w:t>
      </w:r>
    </w:p>
    <w:p>
      <w:pPr>
        <w:pStyle w:val="Heading2"/>
        <w:keepNext/>
        <w:keepLines/>
      </w:pPr>
      <w:r>
        <w:rPr>
          <w:b w:val="0"/>
          <w:i w:val="0"/>
        </w:rPr>
        <w:t>12. Errori comuni</w:t>
      </w:r>
    </w:p>
    <w:p>
      <w:pPr>
        <w:keepLines/>
        <w:shd w:fill="F7F4EF"/>
        <w:pBdr>
          <w:left w:val="single" w:sz="18" w:space="8" w:color="315F79"/>
        </w:pBdr>
      </w:pPr>
      <w:r>
        <w:rPr>
          <w:b w:val="0"/>
          <w:i w:val="0"/>
        </w:rPr>
        <w:t>Non affermare che un astragalo fosse necessariamente utilizzato per giocare, pronosticare o contare. Non annunciare una convalida museale non documentata. Non presentare un adattamento digitale moderno come una ricostruzione storica.</w:t>
      </w:r>
    </w:p>
    <w:p>
      <w:pPr>
        <w:pStyle w:val="ListBullet"/>
        <w:keepNext/>
        <w:keepLines/>
      </w:pPr>
      <w:r>
        <w:rPr>
          <w:b w:val="0"/>
          <w:i w:val="0"/>
        </w:rPr>
        <w:t>Dai un nome all'oggetto prima di descriverlo.</w:t>
      </w:r>
    </w:p>
    <w:p>
      <w:pPr>
        <w:pStyle w:val="ListBullet"/>
        <w:keepNext/>
        <w:keepLines/>
      </w:pPr>
      <w:r>
        <w:rPr>
          <w:b w:val="0"/>
          <w:i w:val="0"/>
        </w:rPr>
        <w:t>Mantieni una sola ipotesi.</w:t>
      </w:r>
    </w:p>
    <w:p>
      <w:pPr>
        <w:pStyle w:val="ListBullet"/>
        <w:keepNext/>
        <w:keepLines/>
      </w:pPr>
      <w:r>
        <w:rPr>
          <w:b w:val="0"/>
          <w:i w:val="0"/>
        </w:rPr>
        <w:t>Somiglianza confusa e stesso utilizzo.</w:t>
      </w:r>
    </w:p>
    <w:p>
      <w:pPr>
        <w:pStyle w:val="ListBullet"/>
        <w:keepNext w:val="0"/>
        <w:keepLines/>
      </w:pPr>
      <w:r>
        <w:rPr>
          <w:b w:val="0"/>
          <w:i w:val="0"/>
        </w:rPr>
        <w:t>Ignora il contesto di rilevamento.</w:t>
      </w:r>
    </w:p>
    <w:p>
      <w:pPr>
        <w:pStyle w:val="Heading2"/>
        <w:keepNext/>
        <w:keepLines/>
      </w:pPr>
      <w:r>
        <w:rPr>
          <w:b w:val="0"/>
          <w:i w:val="0"/>
        </w:rPr>
        <w:t>13. Fonti e limiti</w:t>
      </w:r>
    </w:p>
    <w:p>
      <w:pPr>
        <w:keepLines/>
      </w:pPr>
      <w:r>
        <w:rPr>
          <w:b w:val="0"/>
          <w:i w:val="0"/>
        </w:rPr>
        <w:t>Il supporto traspone un approccio di indagine archeologica: osservazione, formulazione di ipotesi, confronto con il contesto e comparazione. Le cinque immagini del Metropolitan Museum of Art documentate come provvisorie nella riprogettazione sono escluse dai PDF. Il gioco di codifica è un'estensione contemporanea, non una prova di uso antico.</w:t>
      </w:r>
    </w:p>
    <w:p>
      <w:pPr>
        <w:pStyle w:val="Heading2"/>
        <w:keepNext/>
        <w:keepLines/>
      </w:pPr>
      <w:r>
        <w:rPr>
          <w:b w:val="0"/>
          <w:i w:val="0"/>
        </w:rPr>
        <w:t>14. Stato attuale e restanti convalide</w:t>
      </w:r>
    </w:p>
    <w:p>
      <w:pPr>
        <w:keepLines/>
        <w:shd w:fill="F7F4EF"/>
        <w:pBdr>
          <w:left w:val="single" w:sz="18" w:space="8" w:color="315F79"/>
        </w:pBdr>
      </w:pPr>
      <w:r>
        <w:rPr>
          <w:b w:val="0"/>
          <w:i w:val="0"/>
        </w:rPr>
        <w:t>Modelli e metodi pronti per i test sugli adulti. Prima di una sessione studentesca, integra gli oggetti A-E documentati, controlla avvisi e diritti, accerta le informazioni rilevate in ogni fase e fai validare il corpus dai responsabili scientifici e museali.</w:t>
      </w:r>
    </w:p>
    <w:p>
      <w:pPr>
        <w:pStyle w:val="Heading2"/>
        <w:keepNext/>
        <w:keepLines/>
      </w:pPr>
      <w:r>
        <w:rPr>
          <w:b w:val="0"/>
          <w:i w:val="0"/>
        </w:rPr>
        <w:t>Stampa piano</w:t>
      </w:r>
    </w:p>
    <w:p>
      <w:pPr>
        <w:pStyle w:val="ResourceCredit"/>
        <w:spacing w:before="160"/>
      </w:pPr>
      <w:r>
        <w:rPr>
          <w:b/>
        </w:rPr>
        <w:t xml:space="preserve">Tracciabilità : </w:t>
      </w:r>
      <w:hyperlink r:id="rId11">
        <w:r>
          <w:rPr>
            <w:color w:val="315F79"/>
            <w:u w:val="single"/>
          </w:rPr>
          <w:t>https://histoire-d-os.github.io/Histoire-d-os/it/ressources/activite-04-un-os-plusieurs-vies.html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Versione pilota · Pagina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it/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Attività 04 - guida per la conduzione (IT)</dc:title>
  <dc:subject>Risorsa educativa pilota sul talo/astragalo</dc:subject>
  <dc:creator>Histoires d'os</dc:creator>
  <cp:keywords>Histoires d'os, talus, astragale, it, Attività 04</cp:keywords>
  <dc:description>generated by python-docx</dc:description>
  <cp:lastModifiedBy/>
  <cp:revision>1</cp:revision>
  <dcterms:created xsi:type="dcterms:W3CDTF">2013-12-23T23:15:00Z</dcterms:created>
  <dcterms:modified xsi:type="dcterms:W3CDTF">2013-12-23T23:15:00Z</dcterms:modified>
  <cp:category/>
</cp:coreProperties>
</file>