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Activité 4</w:t>
      </w:r>
    </w:p>
    <w:p>
      <w:pPr>
        <w:pStyle w:val="Heading1"/>
        <w:keepNext/>
        <w:keepLines/>
      </w:pPr>
      <w:r>
        <w:rPr>
          <w:b w:val="0"/>
          <w:i w:val="0"/>
        </w:rPr>
        <w:t>Corrigé de méthode</w:t>
      </w:r>
      <w:r>
        <w:br/>
      </w:r>
      <w:r>
        <w:rPr>
          <w:b w:val="0"/>
          <w:i w:val="0"/>
        </w:rPr>
        <w:t>Un os, plusieurs vies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Corrigé adulte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Enseignants et médiateurs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Mise en commun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Corrigé de raisonnement - aucune fonction A à E n'est définie dans cette version.</w:t>
      </w:r>
    </w:p>
    <w:p>
      <w:pPr>
        <w:pStyle w:val="Heading2"/>
        <w:keepNext/>
        <w:keepLines/>
      </w:pPr>
      <w:r>
        <w:rPr>
          <w:b w:val="0"/>
          <w:i w:val="0"/>
        </w:rPr>
        <w:t>Grille de correction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Étape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Attendu</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Exemple recevable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À reprendre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Observation</w:t>
            </w:r>
          </w:p>
        </w:tc>
        <w:tc>
          <w:tcPr>
            <w:tcW w:type="dxa" w:w="2889"/>
            <w:vAlign w:val="center"/>
            <w:tcMar>
              <w:top w:w="90" w:type="dxa"/>
              <w:start w:w="120" w:type="dxa"/>
              <w:bottom w:w="90" w:type="dxa"/>
              <w:end w:w="120" w:type="dxa"/>
            </w:tcMar>
          </w:tcPr>
          <w:p>
            <w:pPr>
              <w:keepNext/>
              <w:keepLines/>
              <w:spacing w:after="40" w:line="252" w:lineRule="auto"/>
            </w:pPr>
            <w:r>
              <w:rPr>
                <w:b w:val="0"/>
                <w:i w:val="0"/>
              </w:rPr>
              <w:t>Caractéristiques visibles ou mesurables.</w:t>
            </w:r>
          </w:p>
        </w:tc>
        <w:tc>
          <w:tcPr>
            <w:tcW w:type="dxa" w:w="2889"/>
            <w:vAlign w:val="center"/>
            <w:tcMar>
              <w:top w:w="90" w:type="dxa"/>
              <w:start w:w="120" w:type="dxa"/>
              <w:bottom w:w="90" w:type="dxa"/>
              <w:end w:w="120" w:type="dxa"/>
            </w:tcMar>
          </w:tcPr>
          <w:p>
            <w:pPr>
              <w:keepNext/>
              <w:keepLines/>
              <w:spacing w:after="40" w:line="252" w:lineRule="auto"/>
            </w:pPr>
            <w:r>
              <w:rPr>
                <w:b w:val="0"/>
                <w:i w:val="0"/>
              </w:rPr>
              <w:t>« Surface polie sur un côté ».</w:t>
            </w:r>
          </w:p>
        </w:tc>
        <w:tc>
          <w:tcPr>
            <w:tcW w:type="dxa" w:w="2683"/>
            <w:vAlign w:val="center"/>
            <w:tcMar>
              <w:top w:w="90" w:type="dxa"/>
              <w:start w:w="120" w:type="dxa"/>
              <w:bottom w:w="90" w:type="dxa"/>
              <w:end w:w="120" w:type="dxa"/>
            </w:tcMar>
          </w:tcPr>
          <w:p>
            <w:pPr>
              <w:keepNext/>
              <w:keepLines/>
              <w:spacing w:after="40" w:line="252" w:lineRule="auto"/>
            </w:pPr>
            <w:r>
              <w:rPr>
                <w:b w:val="0"/>
                <w:i w:val="0"/>
              </w:rPr>
              <w:t>« Objet de jeu ».</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Hypothèse</w:t>
            </w:r>
          </w:p>
        </w:tc>
        <w:tc>
          <w:tcPr>
            <w:tcW w:type="dxa" w:w="2889"/>
            <w:vAlign w:val="center"/>
            <w:tcMar>
              <w:top w:w="90" w:type="dxa"/>
              <w:start w:w="120" w:type="dxa"/>
              <w:bottom w:w="90" w:type="dxa"/>
              <w:end w:w="120" w:type="dxa"/>
            </w:tcMar>
          </w:tcPr>
          <w:p>
            <w:pPr>
              <w:keepNext/>
              <w:keepLines/>
              <w:spacing w:after="40" w:line="252" w:lineRule="auto"/>
            </w:pPr>
            <w:r>
              <w:rPr>
                <w:b w:val="0"/>
                <w:i w:val="0"/>
              </w:rPr>
              <w:t>Au moins deux possibilités distinctes.</w:t>
            </w:r>
          </w:p>
        </w:tc>
        <w:tc>
          <w:tcPr>
            <w:tcW w:type="dxa" w:w="2889"/>
            <w:vAlign w:val="center"/>
            <w:tcMar>
              <w:top w:w="90" w:type="dxa"/>
              <w:start w:w="120" w:type="dxa"/>
              <w:bottom w:w="90" w:type="dxa"/>
              <w:end w:w="120" w:type="dxa"/>
            </w:tcMar>
          </w:tcPr>
          <w:p>
            <w:pPr>
              <w:keepNext/>
              <w:keepLines/>
              <w:spacing w:after="40" w:line="252" w:lineRule="auto"/>
            </w:pPr>
            <w:r>
              <w:rPr>
                <w:b w:val="0"/>
                <w:i w:val="0"/>
              </w:rPr>
              <w:t>Usure liée à un usage ou transformation naturelle.</w:t>
            </w:r>
          </w:p>
        </w:tc>
        <w:tc>
          <w:tcPr>
            <w:tcW w:type="dxa" w:w="2683"/>
            <w:vAlign w:val="center"/>
            <w:tcMar>
              <w:top w:w="90" w:type="dxa"/>
              <w:start w:w="120" w:type="dxa"/>
              <w:bottom w:w="90" w:type="dxa"/>
              <w:end w:w="120" w:type="dxa"/>
            </w:tcMar>
          </w:tcPr>
          <w:p>
            <w:pPr>
              <w:keepNext/>
              <w:keepLines/>
              <w:spacing w:after="40" w:line="252" w:lineRule="auto"/>
            </w:pPr>
            <w:r>
              <w:rPr>
                <w:b w:val="0"/>
                <w:i w:val="0"/>
              </w:rPr>
              <w:t>Une seule fonction certaine.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Interprétation</w:t>
            </w:r>
          </w:p>
        </w:tc>
        <w:tc>
          <w:tcPr>
            <w:tcW w:type="dxa" w:w="2889"/>
            <w:vAlign w:val="center"/>
            <w:tcMar>
              <w:top w:w="90" w:type="dxa"/>
              <w:start w:w="120" w:type="dxa"/>
              <w:bottom w:w="90" w:type="dxa"/>
              <w:end w:w="120" w:type="dxa"/>
            </w:tcMar>
          </w:tcPr>
          <w:p>
            <w:pPr>
              <w:keepNext/>
              <w:keepLines/>
              <w:spacing w:after="40" w:line="252" w:lineRule="auto"/>
            </w:pPr>
            <w:r>
              <w:rPr>
                <w:b w:val="0"/>
                <w:i w:val="0"/>
              </w:rPr>
              <w:t>Indices reliés à chaque proposition.</w:t>
            </w:r>
          </w:p>
        </w:tc>
        <w:tc>
          <w:tcPr>
            <w:tcW w:type="dxa" w:w="2889"/>
            <w:vAlign w:val="center"/>
            <w:tcMar>
              <w:top w:w="90" w:type="dxa"/>
              <w:start w:w="120" w:type="dxa"/>
              <w:bottom w:w="90" w:type="dxa"/>
              <w:end w:w="120" w:type="dxa"/>
            </w:tcMar>
          </w:tcPr>
          <w:p>
            <w:pPr>
              <w:keepNext/>
              <w:keepLines/>
              <w:spacing w:after="40" w:line="252" w:lineRule="auto"/>
            </w:pPr>
            <w:r>
              <w:rPr>
                <w:b w:val="0"/>
                <w:i w:val="0"/>
              </w:rPr>
              <w:t>Forme, traces, matière et comparaison.</w:t>
            </w:r>
          </w:p>
        </w:tc>
        <w:tc>
          <w:tcPr>
            <w:tcW w:type="dxa" w:w="2683"/>
            <w:vAlign w:val="center"/>
            <w:tcMar>
              <w:top w:w="90" w:type="dxa"/>
              <w:start w:w="120" w:type="dxa"/>
              <w:bottom w:w="90" w:type="dxa"/>
              <w:end w:w="120" w:type="dxa"/>
            </w:tcMar>
          </w:tcPr>
          <w:p>
            <w:pPr>
              <w:keepNext/>
              <w:keepLines/>
              <w:spacing w:after="40" w:line="252" w:lineRule="auto"/>
            </w:pPr>
            <w:r>
              <w:rPr>
                <w:b w:val="0"/>
                <w:i w:val="0"/>
              </w:rPr>
              <w:t>Ressemblance seule.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Vérification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Données capables de départager les pistes.</w:t>
            </w:r>
          </w:p>
        </w:tc>
        <w:tc>
          <w:tcPr>
            <w:tcW w:type="dxa" w:w="2889"/>
            <w:vAlign w:val="center"/>
            <w:tcMar>
              <w:top w:w="90" w:type="dxa"/>
              <w:start w:w="120" w:type="dxa"/>
              <w:bottom w:w="90" w:type="dxa"/>
              <w:end w:w="120" w:type="dxa"/>
            </w:tcMar>
          </w:tcPr>
          <w:p>
            <w:pPr>
              <w:keepNext/>
              <w:keepLines/>
              <w:spacing w:after="40" w:line="252" w:lineRule="auto"/>
            </w:pPr>
            <w:r>
              <w:rPr>
                <w:b w:val="0"/>
                <w:i w:val="0"/>
              </w:rPr>
              <w:t>Contexte, analyse, mesure, référence.</w:t>
            </w:r>
          </w:p>
        </w:tc>
        <w:tc>
          <w:tcPr>
            <w:tcW w:type="dxa" w:w="2683"/>
            <w:vAlign w:val="center"/>
            <w:tcMar>
              <w:top w:w="90" w:type="dxa"/>
              <w:start w:w="120" w:type="dxa"/>
              <w:bottom w:w="90" w:type="dxa"/>
              <w:end w:w="120" w:type="dxa"/>
            </w:tcMar>
          </w:tcPr>
          <w:p>
            <w:pPr>
              <w:keepNext/>
              <w:keepLines/>
              <w:spacing w:after="40" w:line="252" w:lineRule="auto"/>
            </w:pPr>
            <w:r>
              <w:rPr>
                <w:b w:val="0"/>
                <w:i w:val="0"/>
              </w:rPr>
              <w:t>Nouvelle supposition.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Conclusion</w:t>
            </w:r>
          </w:p>
        </w:tc>
        <w:tc>
          <w:tcPr>
            <w:tcW w:type="dxa" w:w="2889"/>
            <w:vAlign w:val="center"/>
            <w:tcMar>
              <w:top w:w="90" w:type="dxa"/>
              <w:start w:w="120" w:type="dxa"/>
              <w:bottom w:w="90" w:type="dxa"/>
              <w:end w:w="120" w:type="dxa"/>
            </w:tcMar>
          </w:tcPr>
          <w:p>
            <w:pPr>
              <w:keepNext/>
              <w:keepLines/>
              <w:spacing w:after="40" w:line="252" w:lineRule="auto"/>
            </w:pPr>
            <w:r>
              <w:rPr>
                <w:b w:val="0"/>
                <w:i w:val="0"/>
              </w:rPr>
              <w:t>Établi, plausible et inconnu distingués.</w:t>
            </w:r>
          </w:p>
        </w:tc>
        <w:tc>
          <w:tcPr>
            <w:tcW w:type="dxa" w:w="2889"/>
            <w:vAlign w:val="center"/>
            <w:tcMar>
              <w:top w:w="90" w:type="dxa"/>
              <w:start w:w="120" w:type="dxa"/>
              <w:bottom w:w="90" w:type="dxa"/>
              <w:end w:w="120" w:type="dxa"/>
            </w:tcMar>
          </w:tcPr>
          <w:p>
            <w:pPr>
              <w:keepNext/>
              <w:keepLines/>
              <w:spacing w:after="40" w:line="252" w:lineRule="auto"/>
            </w:pPr>
            <w:r>
              <w:rPr>
                <w:b w:val="0"/>
                <w:i w:val="0"/>
              </w:rPr>
              <w:t>La proposition reste révisable.</w:t>
            </w:r>
          </w:p>
        </w:tc>
        <w:tc>
          <w:tcPr>
            <w:tcW w:type="dxa" w:w="2683"/>
            <w:vAlign w:val="center"/>
            <w:tcMar>
              <w:top w:w="90" w:type="dxa"/>
              <w:start w:w="120" w:type="dxa"/>
              <w:bottom w:w="90" w:type="dxa"/>
              <w:end w:w="120" w:type="dxa"/>
            </w:tcMar>
          </w:tcPr>
          <w:p>
            <w:pPr>
              <w:keepLines/>
              <w:spacing w:after="40" w:line="252" w:lineRule="auto"/>
            </w:pPr>
            <w:r>
              <w:rPr>
                <w:b w:val="0"/>
                <w:i w:val="0"/>
              </w:rPr>
              <w:t>Le doute est effacé.</w:t>
            </w:r>
          </w:p>
        </w:tc>
      </w:tr>
    </w:tbl>
    <w:p>
      <w:pPr>
        <w:spacing w:after="0"/>
      </w:pPr>
    </w:p>
    <w:p>
      <w:pPr>
        <w:pStyle w:val="Heading2"/>
        <w:keepNext/>
        <w:keepLines/>
      </w:pPr>
      <w:r>
        <w:rPr>
          <w:b w:val="0"/>
          <w:i w:val="0"/>
        </w:rPr>
        <w:t>Relances utiles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Quand une idée arrive trop vite</w:t>
            </w:r>
          </w:p>
          <w:p>
            <w:pPr>
              <w:keepLines/>
            </w:pPr>
            <w:r>
              <w:rPr>
                <w:b w:val="0"/>
                <w:i w:val="0"/>
              </w:rPr>
              <w:t>« Qu'as-tu vu exactement ? Peux-tu écrire la même phrase sans nommer la fonction ? »</w:t>
            </w:r>
          </w:p>
        </w:tc>
        <w:tc>
          <w:tcPr>
            <w:tcW w:type="dxa" w:w="5159"/>
            <w:vAlign w:val="top"/>
            <w:shd w:fill="F7F4EF"/>
            <w:tcMar>
              <w:top w:w="90" w:type="dxa"/>
              <w:start w:w="120" w:type="dxa"/>
              <w:bottom w:w="90" w:type="dxa"/>
              <w:end w:w="120" w:type="dxa"/>
            </w:tcMar>
          </w:tcPr>
          <w:p>
            <w:pPr>
              <w:pStyle w:val="Heading3"/>
              <w:keepLines/>
            </w:pPr>
            <w:r>
              <w:rPr>
                <w:b w:val="0"/>
                <w:i w:val="0"/>
              </w:rPr>
              <w:t>Quand le groupe reste bloqué</w:t>
            </w:r>
          </w:p>
          <w:p>
            <w:pPr>
              <w:keepLines/>
            </w:pPr>
            <w:r>
              <w:rPr>
                <w:b w:val="0"/>
                <w:i w:val="0"/>
              </w:rPr>
              <w:t>« Quelle autre histoire expliquerait la même trace ? Quelle information permettrait de choisir ? »</w:t>
            </w:r>
          </w:p>
        </w:tc>
      </w:tr>
    </w:tbl>
    <w:p>
      <w:pPr>
        <w:spacing w:after="0"/>
      </w:pPr>
    </w:p>
    <w:p>
      <w:pPr>
        <w:pStyle w:val="Heading2"/>
        <w:keepNext/>
        <w:keepLines/>
      </w:pPr>
      <w:r>
        <w:rPr>
          <w:b w:val="0"/>
          <w:i w:val="0"/>
        </w:rPr>
        <w:t>Ce que le corrigé ne contient pas</w:t>
      </w:r>
    </w:p>
    <w:p>
      <w:pPr>
        <w:keepLines/>
      </w:pPr>
      <w:r>
        <w:rPr>
          <w:b w:val="0"/>
          <w:i w:val="0"/>
        </w:rPr>
        <w:t>Il n'existe pas de tableau « A = jeu, B = divination... » : les objets n'ont pas encore été sélectionnés ni validés. Même avec un corpus définitif, certaines fonctions pourront rester discutées. Le corrigé devra présenter les indices, les sources et le degré de confiance plutôt qu'une réponse simplifiée.</w:t>
      </w:r>
    </w:p>
    <w:p>
      <w:pPr>
        <w:pStyle w:val="Heading2"/>
        <w:keepNext/>
        <w:keepLines/>
      </w:pPr>
      <w:r>
        <w:rPr>
          <w:b w:val="0"/>
          <w:i w:val="0"/>
        </w:rPr>
        <w:t>Prolongement numérique</w:t>
      </w:r>
    </w:p>
    <w:p>
      <w:pPr>
        <w:keepLines/>
      </w:pPr>
      <w:r>
        <w:rPr>
          <w:b w:val="0"/>
          <w:i w:val="0"/>
        </w:rPr>
        <w:t>Le jeu « Coder avec l'osselet » peut prolonger la discussion sur un usage technique contemporain. Il doit être présenté comme une création pédagogique moderne, pas comme la reconstitution d'une pratique antique documentée.</w:t>
      </w:r>
    </w:p>
    <w:p>
      <w:pPr>
        <w:keepLines/>
        <w:shd w:fill="F7F4EF"/>
        <w:pBdr>
          <w:left w:val="single" w:sz="18" w:space="8" w:color="315F79"/>
        </w:pBdr>
      </w:pPr>
      <w:r>
        <w:rPr>
          <w:b w:val="0"/>
          <w:i w:val="0"/>
        </w:rPr>
        <w:t>Compléter ce corrigé seulement après validation des objets, des notices, des droits et des interprétations par les responsables scientifique et muséal.</w:t>
      </w:r>
    </w:p>
    <w:p>
      <w:pPr>
        <w:pStyle w:val="ResourceCredit"/>
        <w:spacing w:before="160"/>
      </w:pPr>
      <w:r>
        <w:rPr>
          <w:b/>
        </w:rPr>
        <w:t xml:space="preserve">Traçabilité : </w:t>
      </w:r>
      <w:hyperlink r:id="rId11">
        <w:r>
          <w:rPr>
            <w:color w:val="315F79"/>
            <w:u w:val="single"/>
          </w:rPr>
          <w:t>https://histoire-d-os.github.io/Histoire-d-os/ressources/activite-04-un-os-plusieurs-vies.html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04 - corrigé (FR)</dc:title>
  <dc:subject>Ressource pédagogique pilote sur le talus/astragale</dc:subject>
  <dc:creator>Histoires d'os</dc:creator>
  <cp:keywords>Histoires d'os, talus, astragale, fr, Activité 04</cp:keywords>
  <dc:description>generated by python-docx</dc:description>
  <cp:lastModifiedBy/>
  <cp:revision>1</cp:revision>
  <dcterms:created xsi:type="dcterms:W3CDTF">2013-12-23T23:15:00Z</dcterms:created>
  <dcterms:modified xsi:type="dcterms:W3CDTF">2013-12-23T23:15:00Z</dcterms:modified>
  <cp:category/>
</cp:coreProperties>
</file>