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rPr>
          <w:b w:val="0"/>
          <w:i w:val="0"/>
        </w:rPr>
        <w:t>Histoires d'os - Activité 4</w:t>
      </w:r>
    </w:p>
    <w:p>
      <w:pPr>
        <w:pStyle w:val="Heading1"/>
        <w:keepNext/>
        <w:keepLines/>
      </w:pPr>
      <w:r>
        <w:rPr>
          <w:b w:val="0"/>
          <w:i w:val="0"/>
        </w:rPr>
        <w:t>Guide d'encadrement</w:t>
      </w:r>
      <w:r>
        <w:br/>
      </w:r>
      <w:r>
        <w:rPr>
          <w:b w:val="0"/>
          <w:i w:val="0"/>
        </w:rPr>
        <w:t>Un os, plusieurs vies</w:t>
      </w:r>
    </w:p>
    <w:p>
      <w:pPr>
        <w:keepLines/>
      </w:pPr>
      <w:r>
        <w:rPr>
          <w:b w:val="0"/>
          <w:i w:val="0"/>
        </w:rPr>
        <w:t>Guide pour conduire une enquête sur les usages possibles d'un objet sans annoncer de fonction définitive.</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Type</w:t>
            </w:r>
          </w:p>
          <w:p>
            <w:r>
              <w:rPr>
                <w:b w:val="0"/>
                <w:i w:val="0"/>
              </w:rPr>
              <w:t>Guide d'encadrement</w:t>
            </w:r>
          </w:p>
        </w:tc>
        <w:tc>
          <w:tcPr>
            <w:tcW w:type="dxa" w:w="2579"/>
            <w:shd w:fill="F0F1EE"/>
            <w:tcMar>
              <w:top w:w="90" w:type="dxa"/>
              <w:start w:w="120" w:type="dxa"/>
              <w:bottom w:w="90" w:type="dxa"/>
              <w:end w:w="120" w:type="dxa"/>
            </w:tcMar>
          </w:tcPr>
          <w:p>
            <w:pPr>
              <w:pStyle w:val="ResourceCredit"/>
            </w:pPr>
            <w:r>
              <w:rPr>
                <w:b/>
                <w:i w:val="0"/>
              </w:rPr>
              <w:t>Public</w:t>
            </w:r>
          </w:p>
          <w:p>
            <w:r>
              <w:rPr>
                <w:b w:val="0"/>
                <w:i w:val="0"/>
              </w:rPr>
              <w:t>Adultes encadrants</w:t>
            </w:r>
          </w:p>
        </w:tc>
        <w:tc>
          <w:tcPr>
            <w:tcW w:type="dxa" w:w="2579"/>
            <w:shd w:fill="F0F1EE"/>
            <w:tcMar>
              <w:top w:w="90" w:type="dxa"/>
              <w:start w:w="120" w:type="dxa"/>
              <w:bottom w:w="90" w:type="dxa"/>
              <w:end w:w="120" w:type="dxa"/>
            </w:tcMar>
          </w:tcPr>
          <w:p>
            <w:pPr>
              <w:pStyle w:val="ResourceCredit"/>
            </w:pPr>
            <w:r>
              <w:rPr>
                <w:b/>
                <w:i w:val="0"/>
              </w:rPr>
              <w:t>Durée</w:t>
            </w:r>
          </w:p>
          <w:p>
            <w:r>
              <w:rPr>
                <w:b w:val="0"/>
                <w:i w:val="0"/>
              </w:rPr>
              <w:t>45-75 min</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1.0 pilote</w:t>
            </w:r>
          </w:p>
        </w:tc>
      </w:tr>
    </w:tbl>
    <w:p>
      <w:pPr>
        <w:keepLines/>
      </w:pPr>
      <w:r>
        <w:rPr>
          <w:b w:val="0"/>
          <w:i w:val="0"/>
        </w:rPr>
        <w:t>Prototype prudent - les objets A à E et leurs notices restent à intégrer.</w:t>
      </w:r>
    </w:p>
    <w:p>
      <w:pPr>
        <w:pStyle w:val="Heading2"/>
        <w:keepNext/>
        <w:keepLines/>
      </w:pPr>
      <w:r>
        <w:rPr>
          <w:b w:val="0"/>
          <w:i w:val="0"/>
        </w:rPr>
        <w:t>1. En bref</w:t>
      </w:r>
    </w:p>
    <w:p>
      <w:pPr>
        <w:keepLines/>
      </w:pPr>
      <w:r>
        <w:rPr>
          <w:b w:val="0"/>
          <w:i w:val="0"/>
        </w:rPr>
        <w:t>Les élèves décrivent un objet sans lui attribuer d'usage, formulent au moins deux hypothèses, choisissent les indices qui les soutiennent puis listent les informations nécessaires pour les départager. Les cartes A à E sont des gabarits : l'activité devient pleinement exploitable après ajout d'un corpus validé.</w:t>
      </w:r>
    </w:p>
    <w:p>
      <w:pPr>
        <w:pStyle w:val="Heading2"/>
        <w:keepNext/>
        <w:keepLines/>
      </w:pPr>
      <w:r>
        <w:rPr>
          <w:b w:val="0"/>
          <w:i w:val="0"/>
        </w:rPr>
        <w:t>2. Objectifs</w:t>
      </w:r>
    </w:p>
    <w:p>
      <w:pPr>
        <w:pStyle w:val="ListBullet"/>
        <w:keepNext/>
        <w:keepLines/>
      </w:pPr>
      <w:r>
        <w:rPr>
          <w:b w:val="0"/>
          <w:i w:val="0"/>
        </w:rPr>
        <w:t>Distinguer observation, hypothèse, interprétation et vérification.</w:t>
      </w:r>
    </w:p>
    <w:p>
      <w:pPr>
        <w:pStyle w:val="ListBullet"/>
        <w:keepNext/>
        <w:keepLines/>
      </w:pPr>
      <w:r>
        <w:rPr>
          <w:b w:val="0"/>
          <w:i w:val="0"/>
        </w:rPr>
        <w:t>Décrire matière, forme, dimensions et traces visibles.</w:t>
      </w:r>
    </w:p>
    <w:p>
      <w:pPr>
        <w:pStyle w:val="ListBullet"/>
        <w:keepNext/>
        <w:keepLines/>
      </w:pPr>
      <w:r>
        <w:rPr>
          <w:b w:val="0"/>
          <w:i w:val="0"/>
        </w:rPr>
        <w:t>Proposer plusieurs usages possibles à partir d'indices.</w:t>
      </w:r>
    </w:p>
    <w:p>
      <w:pPr>
        <w:pStyle w:val="ListBullet"/>
        <w:keepNext w:val="0"/>
        <w:keepLines/>
      </w:pPr>
      <w:r>
        <w:rPr>
          <w:b w:val="0"/>
          <w:i w:val="0"/>
        </w:rPr>
        <w:t>Comprendre le rôle du contexte archéologique et documentaire.</w:t>
      </w:r>
    </w:p>
    <w:p>
      <w:pPr>
        <w:pStyle w:val="Heading2"/>
        <w:keepNext/>
        <w:keepLines/>
      </w:pPr>
      <w:r>
        <w:rPr>
          <w:b w:val="0"/>
          <w:i w:val="0"/>
        </w:rPr>
        <w:t>3. Réussite attendue</w:t>
      </w:r>
    </w:p>
    <w:tbl>
      <w:tblPr>
        <w:tblStyle w:val="TableGrid"/>
        <w:tblLook w:firstColumn="1" w:firstRow="1" w:lastColumn="0" w:lastRow="0" w:noHBand="0" w:noVBand="1" w:val="04A0"/>
        <w:tblW w:w="10318" w:type="dxa"/>
        <w:tblInd w:w="120" w:type="dxa"/>
        <w:tblLayout w:type="fixed"/>
      </w:tblPr>
      <w:tblGrid>
        <w:gridCol w:w="3439"/>
        <w:gridCol w:w="3439"/>
        <w:gridCol w:w="3440"/>
      </w:tblGrid>
      <w:tr>
        <w:trPr>
          <w:cantSplit/>
          <w:cantSplit/>
          <w:cantSplit/>
        </w:trPr>
        <w:tc>
          <w:tcPr>
            <w:tcW w:type="dxa" w:w="3439"/>
            <w:vAlign w:val="top"/>
            <w:shd w:fill="F7F4EF"/>
            <w:tcMar>
              <w:top w:w="90" w:type="dxa"/>
              <w:start w:w="120" w:type="dxa"/>
              <w:bottom w:w="90" w:type="dxa"/>
              <w:end w:w="120" w:type="dxa"/>
            </w:tcMar>
          </w:tcPr>
          <w:p>
            <w:pPr>
              <w:pStyle w:val="Heading3"/>
              <w:keepLines/>
            </w:pPr>
            <w:r>
              <w:rPr>
                <w:b w:val="0"/>
                <w:i w:val="0"/>
              </w:rPr>
              <w:t>Réussi</w:t>
            </w:r>
          </w:p>
          <w:p>
            <w:pPr>
              <w:keepLines/>
            </w:pPr>
            <w:r>
              <w:rPr>
                <w:b w:val="0"/>
                <w:i w:val="0"/>
              </w:rPr>
              <w:t>Deux hypothèses sont reliées à des indices et à des moyens de vérification.</w:t>
            </w:r>
          </w:p>
        </w:tc>
        <w:tc>
          <w:tcPr>
            <w:tcW w:type="dxa" w:w="3439"/>
            <w:vAlign w:val="top"/>
            <w:shd w:fill="F7F4EF"/>
            <w:tcMar>
              <w:top w:w="90" w:type="dxa"/>
              <w:start w:w="120" w:type="dxa"/>
              <w:bottom w:w="90" w:type="dxa"/>
              <w:end w:w="120" w:type="dxa"/>
            </w:tcMar>
          </w:tcPr>
          <w:p>
            <w:pPr>
              <w:pStyle w:val="Heading3"/>
              <w:keepLines/>
            </w:pPr>
            <w:r>
              <w:rPr>
                <w:b w:val="0"/>
                <w:i w:val="0"/>
              </w:rPr>
              <w:t>En progrès</w:t>
            </w:r>
          </w:p>
          <w:p>
            <w:pPr>
              <w:keepLines/>
            </w:pPr>
            <w:r>
              <w:rPr>
                <w:b w:val="0"/>
                <w:i w:val="0"/>
              </w:rPr>
              <w:t>Les hypothèses sont distinctes, mais les indices restent imprécis.</w:t>
            </w:r>
          </w:p>
        </w:tc>
        <w:tc>
          <w:tcPr>
            <w:tcW w:type="dxa" w:w="3440"/>
            <w:vAlign w:val="top"/>
            <w:shd w:fill="F7F4EF"/>
            <w:tcMar>
              <w:top w:w="90" w:type="dxa"/>
              <w:start w:w="120" w:type="dxa"/>
              <w:bottom w:w="90" w:type="dxa"/>
              <w:end w:w="120" w:type="dxa"/>
            </w:tcMar>
          </w:tcPr>
          <w:p>
            <w:pPr>
              <w:pStyle w:val="Heading3"/>
              <w:keepLines/>
            </w:pPr>
            <w:r>
              <w:rPr>
                <w:b w:val="0"/>
                <w:i w:val="0"/>
              </w:rPr>
              <w:t>À reprendre</w:t>
            </w:r>
          </w:p>
          <w:p>
            <w:pPr>
              <w:keepLines/>
            </w:pPr>
            <w:r>
              <w:rPr>
                <w:b w:val="0"/>
                <w:i w:val="0"/>
              </w:rPr>
              <w:t>La fonction est annoncée comme certaine dès la première observation.</w:t>
            </w:r>
          </w:p>
        </w:tc>
      </w:tr>
    </w:tbl>
    <w:p>
      <w:pPr>
        <w:spacing w:after="0"/>
      </w:pPr>
    </w:p>
    <w:p>
      <w:pPr>
        <w:pStyle w:val="Heading2"/>
        <w:keepNext/>
        <w:keepLines/>
      </w:pPr>
      <w:r>
        <w:rPr>
          <w:b w:val="0"/>
          <w:i w:val="0"/>
        </w:rPr>
        <w:t>4. Durée et matériel</w:t>
      </w:r>
    </w:p>
    <w:tbl>
      <w:tblPr>
        <w:tblStyle w:val="TableGrid"/>
        <w:tblLook w:firstColumn="1" w:firstRow="1" w:lastColumn="0" w:lastRow="0" w:noHBand="0" w:noVBand="1" w:val="04A0"/>
        <w:tblW w:w="10318" w:type="dxa"/>
        <w:tblInd w:w="120" w:type="dxa"/>
        <w:tblLayout w:type="fixed"/>
      </w:tblPr>
      <w:tblGrid>
        <w:gridCol w:w="2476"/>
        <w:gridCol w:w="3921"/>
        <w:gridCol w:w="3921"/>
      </w:tblGrid>
      <w:tr>
        <w:trPr>
          <w:cantSplit/>
          <w:tblHeader w:val="true"/>
        </w:trPr>
        <w:tc>
          <w:tcPr>
            <w:tcW w:type="dxa" w:w="2476"/>
            <w:vAlign w:val="center"/>
            <w:shd w:fill="F0F1EE"/>
            <w:tcMar>
              <w:top w:w="90" w:type="dxa"/>
              <w:start w:w="120" w:type="dxa"/>
              <w:bottom w:w="90" w:type="dxa"/>
              <w:end w:w="120" w:type="dxa"/>
            </w:tcMar>
          </w:tcPr>
          <w:p>
            <w:pPr>
              <w:keepNext/>
              <w:keepLines/>
              <w:spacing w:after="40" w:line="252" w:lineRule="auto"/>
            </w:pPr>
            <w:r>
              <w:rPr>
                <w:b/>
                <w:i w:val="0"/>
              </w:rPr>
              <w:t>Contexte</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Durée</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Matériel</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Classe</w:t>
            </w:r>
          </w:p>
        </w:tc>
        <w:tc>
          <w:tcPr>
            <w:tcW w:type="dxa" w:w="3921"/>
            <w:vAlign w:val="center"/>
            <w:tcMar>
              <w:top w:w="90" w:type="dxa"/>
              <w:start w:w="120" w:type="dxa"/>
              <w:bottom w:w="90" w:type="dxa"/>
              <w:end w:w="120" w:type="dxa"/>
            </w:tcMar>
          </w:tcPr>
          <w:p>
            <w:pPr>
              <w:keepNext/>
              <w:keepLines/>
              <w:spacing w:after="40" w:line="252" w:lineRule="auto"/>
            </w:pPr>
            <w:r>
              <w:rPr>
                <w:b w:val="0"/>
                <w:i w:val="0"/>
              </w:rPr>
              <w:t>45-75 min</w:t>
            </w:r>
          </w:p>
        </w:tc>
        <w:tc>
          <w:tcPr>
            <w:tcW w:type="dxa" w:w="3921"/>
            <w:vAlign w:val="center"/>
            <w:tcMar>
              <w:top w:w="90" w:type="dxa"/>
              <w:start w:w="120" w:type="dxa"/>
              <w:bottom w:w="90" w:type="dxa"/>
              <w:end w:w="120" w:type="dxa"/>
            </w:tcMar>
          </w:tcPr>
          <w:p>
            <w:pPr>
              <w:keepNext/>
              <w:keepLines/>
              <w:spacing w:after="40" w:line="252" w:lineRule="auto"/>
            </w:pPr>
            <w:r>
              <w:rPr>
                <w:b w:val="0"/>
                <w:i w:val="0"/>
              </w:rPr>
              <w:t>Fiche, cartes A-E, photographies ou répliques validées.</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Musée</w:t>
            </w:r>
          </w:p>
        </w:tc>
        <w:tc>
          <w:tcPr>
            <w:tcW w:type="dxa" w:w="3921"/>
            <w:vAlign w:val="center"/>
            <w:tcMar>
              <w:top w:w="90" w:type="dxa"/>
              <w:start w:w="120" w:type="dxa"/>
              <w:bottom w:w="90" w:type="dxa"/>
              <w:end w:w="120" w:type="dxa"/>
            </w:tcMar>
          </w:tcPr>
          <w:p>
            <w:pPr>
              <w:keepNext/>
              <w:keepLines/>
              <w:spacing w:after="40" w:line="252" w:lineRule="auto"/>
            </w:pPr>
            <w:r>
              <w:rPr>
                <w:b w:val="0"/>
                <w:i w:val="0"/>
              </w:rPr>
              <w:t>30-60 min</w:t>
            </w:r>
          </w:p>
        </w:tc>
        <w:tc>
          <w:tcPr>
            <w:tcW w:type="dxa" w:w="3921"/>
            <w:vAlign w:val="center"/>
            <w:tcMar>
              <w:top w:w="90" w:type="dxa"/>
              <w:start w:w="120" w:type="dxa"/>
              <w:bottom w:w="90" w:type="dxa"/>
              <w:end w:w="120" w:type="dxa"/>
            </w:tcMar>
          </w:tcPr>
          <w:p>
            <w:pPr>
              <w:keepLines/>
              <w:spacing w:after="40" w:line="252" w:lineRule="auto"/>
            </w:pPr>
            <w:r>
              <w:rPr>
                <w:b w:val="0"/>
                <w:i w:val="0"/>
              </w:rPr>
              <w:t>Objet en vitrine, reproduction ou objet manipulable autorisé.</w:t>
            </w:r>
          </w:p>
        </w:tc>
      </w:tr>
    </w:tbl>
    <w:p>
      <w:pPr>
        <w:spacing w:after="0"/>
      </w:pPr>
    </w:p>
    <w:p>
      <w:pPr>
        <w:pStyle w:val="Heading2"/>
        <w:keepNext/>
        <w:keepLines/>
      </w:pPr>
      <w:r>
        <w:rPr>
          <w:b w:val="0"/>
          <w:i w:val="0"/>
        </w:rPr>
        <w:t>5. Préparation rapide</w:t>
      </w:r>
    </w:p>
    <w:p>
      <w:pPr>
        <w:keepLines/>
        <w:shd w:fill="F7F4EF"/>
        <w:pBdr>
          <w:left w:val="single" w:sz="18" w:space="8" w:color="315F79"/>
        </w:pBdr>
      </w:pPr>
      <w:r>
        <w:rPr>
          <w:b w:val="0"/>
          <w:i w:val="0"/>
        </w:rPr>
        <w:t>Sélectionner un à cinq objets documentés. Compléter les cartes sans inscrire de fonction comme titre. Garder les données de contexte cachées jusqu'à la phase de vérification. Adapter le protocole aux règles de l'institution.</w:t>
      </w:r>
    </w:p>
    <w:p>
      <w:pPr>
        <w:keepLines/>
        <w:shd w:fill="F7F4EF"/>
        <w:pBdr>
          <w:left w:val="single" w:sz="18" w:space="8" w:color="315F79"/>
        </w:pBdr>
      </w:pPr>
      <w:r>
        <w:rPr>
          <w:b w:val="0"/>
          <w:i w:val="0"/>
        </w:rPr>
        <w:t>« Commencez par ce qui est visible. Une hypothèse est une proposition à tester, pas une réponse certaine. »</w:t>
      </w:r>
    </w:p>
    <w:p>
      <w:pPr>
        <w:pStyle w:val="Heading2"/>
        <w:keepNext/>
        <w:keepLines/>
      </w:pPr>
      <w:r>
        <w:rPr>
          <w:b w:val="0"/>
          <w:i w:val="0"/>
        </w:rPr>
        <w:t>6. Déroulement détaillé</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Temps</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Action de l'adulte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Action des élèves</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But</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5 min</w:t>
            </w:r>
          </w:p>
        </w:tc>
        <w:tc>
          <w:tcPr>
            <w:tcW w:type="dxa" w:w="2889"/>
            <w:vAlign w:val="center"/>
            <w:tcMar>
              <w:top w:w="90" w:type="dxa"/>
              <w:start w:w="120" w:type="dxa"/>
              <w:bottom w:w="90" w:type="dxa"/>
              <w:end w:w="120" w:type="dxa"/>
            </w:tcMar>
          </w:tcPr>
          <w:p>
            <w:pPr>
              <w:keepNext/>
              <w:keepLines/>
              <w:spacing w:after="40" w:line="252" w:lineRule="auto"/>
            </w:pPr>
            <w:r>
              <w:rPr>
                <w:b w:val="0"/>
                <w:i w:val="0"/>
              </w:rPr>
              <w:t>Présenter l'objet sans fonction.</w:t>
            </w:r>
          </w:p>
        </w:tc>
        <w:tc>
          <w:tcPr>
            <w:tcW w:type="dxa" w:w="2889"/>
            <w:vAlign w:val="center"/>
            <w:tcMar>
              <w:top w:w="90" w:type="dxa"/>
              <w:start w:w="120" w:type="dxa"/>
              <w:bottom w:w="90" w:type="dxa"/>
              <w:end w:w="120" w:type="dxa"/>
            </w:tcMar>
          </w:tcPr>
          <w:p>
            <w:pPr>
              <w:keepNext/>
              <w:keepLines/>
              <w:spacing w:after="40" w:line="252" w:lineRule="auto"/>
            </w:pPr>
            <w:r>
              <w:rPr>
                <w:b w:val="0"/>
                <w:i w:val="0"/>
              </w:rPr>
              <w:t>Écrire une première impression.</w:t>
            </w:r>
          </w:p>
        </w:tc>
        <w:tc>
          <w:tcPr>
            <w:tcW w:type="dxa" w:w="2683"/>
            <w:vAlign w:val="center"/>
            <w:tcMar>
              <w:top w:w="90" w:type="dxa"/>
              <w:start w:w="120" w:type="dxa"/>
              <w:bottom w:w="90" w:type="dxa"/>
              <w:end w:w="120" w:type="dxa"/>
            </w:tcMar>
          </w:tcPr>
          <w:p>
            <w:pPr>
              <w:keepNext/>
              <w:keepLines/>
              <w:spacing w:after="40" w:line="252" w:lineRule="auto"/>
            </w:pPr>
            <w:r>
              <w:rPr>
                <w:b w:val="0"/>
                <w:i w:val="0"/>
              </w:rPr>
              <w:t>Faire apparaître les idées initiales.</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Interdire provisoirement les mots d'usage.</w:t>
            </w:r>
          </w:p>
        </w:tc>
        <w:tc>
          <w:tcPr>
            <w:tcW w:type="dxa" w:w="2889"/>
            <w:vAlign w:val="center"/>
            <w:tcMar>
              <w:top w:w="90" w:type="dxa"/>
              <w:start w:w="120" w:type="dxa"/>
              <w:bottom w:w="90" w:type="dxa"/>
              <w:end w:w="120" w:type="dxa"/>
            </w:tcMar>
          </w:tcPr>
          <w:p>
            <w:pPr>
              <w:keepNext/>
              <w:keepLines/>
              <w:spacing w:after="40" w:line="252" w:lineRule="auto"/>
            </w:pPr>
            <w:r>
              <w:rPr>
                <w:b w:val="0"/>
                <w:i w:val="0"/>
              </w:rPr>
              <w:t>Décrire matière, forme, traces, dimensions.</w:t>
            </w:r>
          </w:p>
        </w:tc>
        <w:tc>
          <w:tcPr>
            <w:tcW w:type="dxa" w:w="2683"/>
            <w:vAlign w:val="center"/>
            <w:tcMar>
              <w:top w:w="90" w:type="dxa"/>
              <w:start w:w="120" w:type="dxa"/>
              <w:bottom w:w="90" w:type="dxa"/>
              <w:end w:w="120" w:type="dxa"/>
            </w:tcMar>
          </w:tcPr>
          <w:p>
            <w:pPr>
              <w:keepNext/>
              <w:keepLines/>
              <w:spacing w:after="40" w:line="252" w:lineRule="auto"/>
            </w:pPr>
            <w:r>
              <w:rPr>
                <w:b w:val="0"/>
                <w:i w:val="0"/>
              </w:rPr>
              <w:t>Installer l'observation.</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15 min</w:t>
            </w:r>
          </w:p>
        </w:tc>
        <w:tc>
          <w:tcPr>
            <w:tcW w:type="dxa" w:w="2889"/>
            <w:vAlign w:val="center"/>
            <w:tcMar>
              <w:top w:w="90" w:type="dxa"/>
              <w:start w:w="120" w:type="dxa"/>
              <w:bottom w:w="90" w:type="dxa"/>
              <w:end w:w="120" w:type="dxa"/>
            </w:tcMar>
          </w:tcPr>
          <w:p>
            <w:pPr>
              <w:keepNext/>
              <w:keepLines/>
              <w:spacing w:after="40" w:line="252" w:lineRule="auto"/>
            </w:pPr>
            <w:r>
              <w:rPr>
                <w:b w:val="0"/>
                <w:i w:val="0"/>
              </w:rPr>
              <w:t>Demander au moins deux hypothèses.</w:t>
            </w:r>
          </w:p>
        </w:tc>
        <w:tc>
          <w:tcPr>
            <w:tcW w:type="dxa" w:w="2889"/>
            <w:vAlign w:val="center"/>
            <w:tcMar>
              <w:top w:w="90" w:type="dxa"/>
              <w:start w:w="120" w:type="dxa"/>
              <w:bottom w:w="90" w:type="dxa"/>
              <w:end w:w="120" w:type="dxa"/>
            </w:tcMar>
          </w:tcPr>
          <w:p>
            <w:pPr>
              <w:keepNext/>
              <w:keepLines/>
              <w:spacing w:after="40" w:line="252" w:lineRule="auto"/>
            </w:pPr>
            <w:r>
              <w:rPr>
                <w:b w:val="0"/>
                <w:i w:val="0"/>
              </w:rPr>
              <w:t>Relier chacune à des indices.</w:t>
            </w:r>
          </w:p>
        </w:tc>
        <w:tc>
          <w:tcPr>
            <w:tcW w:type="dxa" w:w="2683"/>
            <w:vAlign w:val="center"/>
            <w:tcMar>
              <w:top w:w="90" w:type="dxa"/>
              <w:start w:w="120" w:type="dxa"/>
              <w:bottom w:w="90" w:type="dxa"/>
              <w:end w:w="120" w:type="dxa"/>
            </w:tcMar>
          </w:tcPr>
          <w:p>
            <w:pPr>
              <w:keepNext/>
              <w:keepLines/>
              <w:spacing w:after="40" w:line="252" w:lineRule="auto"/>
            </w:pPr>
            <w:r>
              <w:rPr>
                <w:b w:val="0"/>
                <w:i w:val="0"/>
              </w:rPr>
              <w:t>Ouvrir plusieurs interprétations.</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Distribuer les données de contexte validées.</w:t>
            </w:r>
          </w:p>
        </w:tc>
        <w:tc>
          <w:tcPr>
            <w:tcW w:type="dxa" w:w="2889"/>
            <w:vAlign w:val="center"/>
            <w:tcMar>
              <w:top w:w="90" w:type="dxa"/>
              <w:start w:w="120" w:type="dxa"/>
              <w:bottom w:w="90" w:type="dxa"/>
              <w:end w:w="120" w:type="dxa"/>
            </w:tcMar>
          </w:tcPr>
          <w:p>
            <w:pPr>
              <w:keepNext/>
              <w:keepLines/>
              <w:spacing w:after="40" w:line="252" w:lineRule="auto"/>
            </w:pPr>
            <w:r>
              <w:rPr>
                <w:b w:val="0"/>
                <w:i w:val="0"/>
              </w:rPr>
              <w:t>Confirmer, nuancer ou écarter des pistes.</w:t>
            </w:r>
          </w:p>
        </w:tc>
        <w:tc>
          <w:tcPr>
            <w:tcW w:type="dxa" w:w="2683"/>
            <w:vAlign w:val="center"/>
            <w:tcMar>
              <w:top w:w="90" w:type="dxa"/>
              <w:start w:w="120" w:type="dxa"/>
              <w:bottom w:w="90" w:type="dxa"/>
              <w:end w:w="120" w:type="dxa"/>
            </w:tcMar>
          </w:tcPr>
          <w:p>
            <w:pPr>
              <w:keepNext/>
              <w:keepLines/>
              <w:spacing w:after="40" w:line="252" w:lineRule="auto"/>
            </w:pPr>
            <w:r>
              <w:rPr>
                <w:b w:val="0"/>
                <w:i w:val="0"/>
              </w:rPr>
              <w:t>Mettre les hypothèses à l'épreuve.</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Conduire une conclusion collective.</w:t>
            </w:r>
          </w:p>
        </w:tc>
        <w:tc>
          <w:tcPr>
            <w:tcW w:type="dxa" w:w="2889"/>
            <w:vAlign w:val="center"/>
            <w:tcMar>
              <w:top w:w="90" w:type="dxa"/>
              <w:start w:w="120" w:type="dxa"/>
              <w:bottom w:w="90" w:type="dxa"/>
              <w:end w:w="120" w:type="dxa"/>
            </w:tcMar>
          </w:tcPr>
          <w:p>
            <w:pPr>
              <w:keepNext/>
              <w:keepLines/>
              <w:spacing w:after="40" w:line="252" w:lineRule="auto"/>
            </w:pPr>
            <w:r>
              <w:rPr>
                <w:b w:val="0"/>
                <w:i w:val="0"/>
              </w:rPr>
              <w:t>Classer établi, plausible et inconnu.</w:t>
            </w:r>
          </w:p>
        </w:tc>
        <w:tc>
          <w:tcPr>
            <w:tcW w:type="dxa" w:w="2683"/>
            <w:vAlign w:val="center"/>
            <w:tcMar>
              <w:top w:w="90" w:type="dxa"/>
              <w:start w:w="120" w:type="dxa"/>
              <w:bottom w:w="90" w:type="dxa"/>
              <w:end w:w="120" w:type="dxa"/>
            </w:tcMar>
          </w:tcPr>
          <w:p>
            <w:pPr>
              <w:keepLines/>
              <w:spacing w:after="40" w:line="252" w:lineRule="auto"/>
            </w:pPr>
            <w:r>
              <w:rPr>
                <w:b w:val="0"/>
                <w:i w:val="0"/>
              </w:rPr>
              <w:t>Conclure avec prudence.</w:t>
            </w:r>
          </w:p>
        </w:tc>
      </w:tr>
    </w:tbl>
    <w:p>
      <w:pPr>
        <w:spacing w:after="0"/>
      </w:pPr>
    </w:p>
    <w:p>
      <w:pPr>
        <w:pStyle w:val="Heading2"/>
        <w:keepNext/>
        <w:keepLines/>
      </w:pPr>
      <w:r>
        <w:rPr>
          <w:b w:val="0"/>
          <w:i w:val="0"/>
        </w:rPr>
        <w:t>7. Questions et relances</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Observer</w:t>
            </w:r>
          </w:p>
          <w:p>
            <w:pPr>
              <w:pStyle w:val="ListBullet"/>
              <w:keepNext/>
              <w:keepLines/>
            </w:pPr>
            <w:r>
              <w:rPr>
                <w:b w:val="0"/>
                <w:i w:val="0"/>
              </w:rPr>
              <w:t>Que peux-tu mesurer ?</w:t>
            </w:r>
          </w:p>
          <w:p>
            <w:pPr>
              <w:pStyle w:val="ListBullet"/>
              <w:keepNext/>
              <w:keepLines/>
            </w:pPr>
            <w:r>
              <w:rPr>
                <w:b w:val="0"/>
                <w:i w:val="0"/>
              </w:rPr>
              <w:t>Quelles traces sont visibles ?</w:t>
            </w:r>
          </w:p>
          <w:p>
            <w:pPr>
              <w:pStyle w:val="ListBullet"/>
              <w:keepNext w:val="0"/>
              <w:keepLines/>
            </w:pPr>
            <w:r>
              <w:rPr>
                <w:b w:val="0"/>
                <w:i w:val="0"/>
              </w:rPr>
              <w:t>Que ne montre pas cette vue ?</w:t>
            </w:r>
          </w:p>
        </w:tc>
        <w:tc>
          <w:tcPr>
            <w:tcW w:type="dxa" w:w="5159"/>
            <w:vAlign w:val="top"/>
            <w:shd w:fill="F7F4EF"/>
            <w:tcMar>
              <w:top w:w="90" w:type="dxa"/>
              <w:start w:w="120" w:type="dxa"/>
              <w:bottom w:w="90" w:type="dxa"/>
              <w:end w:w="120" w:type="dxa"/>
            </w:tcMar>
          </w:tcPr>
          <w:p>
            <w:pPr>
              <w:pStyle w:val="Heading3"/>
              <w:keepLines/>
            </w:pPr>
            <w:r>
              <w:rPr>
                <w:b w:val="0"/>
                <w:i w:val="0"/>
              </w:rPr>
              <w:t>Vérifier</w:t>
            </w:r>
          </w:p>
          <w:p>
            <w:pPr>
              <w:pStyle w:val="ListBullet"/>
              <w:keepNext/>
              <w:keepLines/>
            </w:pPr>
            <w:r>
              <w:rPr>
                <w:b w:val="0"/>
                <w:i w:val="0"/>
              </w:rPr>
              <w:t>Quel contexte départagerait les hypothèses ?</w:t>
            </w:r>
          </w:p>
          <w:p>
            <w:pPr>
              <w:pStyle w:val="ListBullet"/>
              <w:keepNext/>
              <w:keepLines/>
            </w:pPr>
            <w:r>
              <w:rPr>
                <w:b w:val="0"/>
                <w:i w:val="0"/>
              </w:rPr>
              <w:t>À quel objet de référence comparer ?</w:t>
            </w:r>
          </w:p>
          <w:p>
            <w:pPr>
              <w:pStyle w:val="ListBullet"/>
              <w:keepNext w:val="0"/>
              <w:keepLines/>
            </w:pPr>
            <w:r>
              <w:rPr>
                <w:b w:val="0"/>
                <w:i w:val="0"/>
              </w:rPr>
              <w:t>Quelle analyse serait utile ?</w:t>
            </w:r>
          </w:p>
        </w:tc>
      </w:tr>
    </w:tbl>
    <w:p>
      <w:pPr>
        <w:spacing w:after="0"/>
      </w:pPr>
    </w:p>
    <w:p>
      <w:pPr>
        <w:pStyle w:val="Heading2"/>
        <w:keepNext/>
        <w:keepLines/>
      </w:pPr>
      <w:r>
        <w:rPr>
          <w:b w:val="0"/>
          <w:i w:val="0"/>
        </w:rPr>
        <w:t>8. Réponses ou éléments attendus</w:t>
      </w:r>
    </w:p>
    <w:p>
      <w:pPr>
        <w:keepLines/>
      </w:pPr>
      <w:r>
        <w:rPr>
          <w:b w:val="0"/>
          <w:i w:val="0"/>
        </w:rPr>
        <w:t>Aucune fonction A-E n'est attendue avant intégration du corpus. Une production réussie contient une description indépendante, deux hypothèses au minimum, les indices associés, une objection ou limite et un moyen de vérification : contexte de découverte, traces d'usage, comparaison typologique, analyse de matière, mesure ou source textuelle.</w:t>
      </w:r>
    </w:p>
    <w:p>
      <w:pPr>
        <w:pStyle w:val="Heading2"/>
        <w:keepNext/>
        <w:keepLines/>
      </w:pPr>
      <w:r>
        <w:rPr>
          <w:b w:val="0"/>
          <w:i w:val="0"/>
        </w:rPr>
        <w:t>9. Différenciation</w:t>
      </w:r>
    </w:p>
    <w:tbl>
      <w:tblPr>
        <w:tblStyle w:val="TableGrid"/>
        <w:tblLook w:firstColumn="1" w:firstRow="1" w:lastColumn="0" w:lastRow="0" w:noHBand="0" w:noVBand="1" w:val="04A0"/>
        <w:tblW w:w="10318" w:type="dxa"/>
        <w:tblInd w:w="120" w:type="dxa"/>
        <w:tblLayout w:type="fixed"/>
      </w:tblPr>
      <w:tblGrid>
        <w:gridCol w:w="3095"/>
        <w:gridCol w:w="7223"/>
      </w:tblGrid>
      <w:tr>
        <w:trPr>
          <w:cantSplit/>
          <w:tblHeader w:val="true"/>
        </w:trPr>
        <w:tc>
          <w:tcPr>
            <w:tcW w:type="dxa" w:w="3095"/>
            <w:vAlign w:val="center"/>
            <w:shd w:fill="F0F1EE"/>
            <w:tcMar>
              <w:top w:w="90" w:type="dxa"/>
              <w:start w:w="120" w:type="dxa"/>
              <w:bottom w:w="90" w:type="dxa"/>
              <w:end w:w="120" w:type="dxa"/>
            </w:tcMar>
          </w:tcPr>
          <w:p>
            <w:pPr>
              <w:keepNext/>
              <w:keepLines/>
              <w:spacing w:after="40" w:line="252" w:lineRule="auto"/>
            </w:pPr>
            <w:r>
              <w:rPr>
                <w:b/>
                <w:i w:val="0"/>
              </w:rPr>
              <w:t>Besoin</w:t>
            </w:r>
          </w:p>
        </w:tc>
        <w:tc>
          <w:tcPr>
            <w:tcW w:type="dxa" w:w="7223"/>
            <w:vAlign w:val="center"/>
            <w:shd w:fill="F0F1EE"/>
            <w:tcMar>
              <w:top w:w="90" w:type="dxa"/>
              <w:start w:w="120" w:type="dxa"/>
              <w:bottom w:w="90" w:type="dxa"/>
              <w:end w:w="120" w:type="dxa"/>
            </w:tcMar>
          </w:tcPr>
          <w:p>
            <w:pPr>
              <w:keepNext/>
              <w:keepLines/>
              <w:spacing w:after="40" w:line="252" w:lineRule="auto"/>
            </w:pPr>
            <w:r>
              <w:rPr>
                <w:b/>
                <w:i w:val="0"/>
              </w:rPr>
              <w:t>Adaptation</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Aider</w:t>
            </w:r>
          </w:p>
        </w:tc>
        <w:tc>
          <w:tcPr>
            <w:tcW w:type="dxa" w:w="7223"/>
            <w:vAlign w:val="center"/>
            <w:tcMar>
              <w:top w:w="90" w:type="dxa"/>
              <w:start w:w="120" w:type="dxa"/>
              <w:bottom w:w="90" w:type="dxa"/>
              <w:end w:w="120" w:type="dxa"/>
            </w:tcMar>
          </w:tcPr>
          <w:p>
            <w:pPr>
              <w:keepNext/>
              <w:keepLines/>
              <w:spacing w:after="40" w:line="252" w:lineRule="auto"/>
            </w:pPr>
            <w:r>
              <w:rPr>
                <w:b w:val="0"/>
                <w:i w:val="0"/>
              </w:rPr>
              <w:t>Travailler sur un seul objet et fournir les étiquettes de vocabulaire.</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Alléger l'écrit</w:t>
            </w:r>
          </w:p>
        </w:tc>
        <w:tc>
          <w:tcPr>
            <w:tcW w:type="dxa" w:w="7223"/>
            <w:vAlign w:val="center"/>
            <w:tcMar>
              <w:top w:w="90" w:type="dxa"/>
              <w:start w:w="120" w:type="dxa"/>
              <w:bottom w:w="90" w:type="dxa"/>
              <w:end w:w="120" w:type="dxa"/>
            </w:tcMar>
          </w:tcPr>
          <w:p>
            <w:pPr>
              <w:keepNext/>
              <w:keepLines/>
              <w:spacing w:after="40" w:line="252" w:lineRule="auto"/>
            </w:pPr>
            <w:r>
              <w:rPr>
                <w:b w:val="0"/>
                <w:i w:val="0"/>
              </w:rPr>
              <w:t>Classer des cartes « j'observe / je suppose / je vérifie ».</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Approfondir</w:t>
            </w:r>
          </w:p>
        </w:tc>
        <w:tc>
          <w:tcPr>
            <w:tcW w:type="dxa" w:w="7223"/>
            <w:vAlign w:val="center"/>
            <w:tcMar>
              <w:top w:w="90" w:type="dxa"/>
              <w:start w:w="120" w:type="dxa"/>
              <w:bottom w:w="90" w:type="dxa"/>
              <w:end w:w="120" w:type="dxa"/>
            </w:tcMar>
          </w:tcPr>
          <w:p>
            <w:pPr>
              <w:keepLines/>
              <w:spacing w:after="40" w:line="252" w:lineRule="auto"/>
            </w:pPr>
            <w:r>
              <w:rPr>
                <w:b w:val="0"/>
                <w:i w:val="0"/>
              </w:rPr>
              <w:t>Comparer deux notices et discuter ce qui change avec la provenance.</w:t>
            </w:r>
          </w:p>
        </w:tc>
      </w:tr>
    </w:tbl>
    <w:p>
      <w:pPr>
        <w:spacing w:after="0"/>
      </w:pPr>
    </w:p>
    <w:p>
      <w:pPr>
        <w:pStyle w:val="Heading2"/>
        <w:keepNext/>
        <w:keepLines/>
      </w:pPr>
      <w:r>
        <w:rPr>
          <w:b w:val="0"/>
          <w:i w:val="0"/>
        </w:rPr>
        <w:t>10. Adaptation musée</w:t>
      </w:r>
    </w:p>
    <w:p>
      <w:pPr>
        <w:keepLines/>
      </w:pPr>
      <w:r>
        <w:rPr>
          <w:b w:val="0"/>
          <w:i w:val="0"/>
        </w:rPr>
        <w:t>Choisir un objet adapté à l'institution et à ses collections réelles. L'observation peut se faire en vitrine ; une photographie ou une réplique est une variante possible mais ne remplace pas entièrement l'original. La manipulation n'est envisagée que si l'objet est manipulable, si les règles du musée l'autorisent et selon le protocole de conservation.</w:t>
      </w:r>
    </w:p>
    <w:p>
      <w:pPr>
        <w:pStyle w:val="Heading2"/>
        <w:keepNext/>
        <w:keepLines/>
      </w:pPr>
      <w:r>
        <w:rPr>
          <w:b w:val="0"/>
          <w:i w:val="0"/>
        </w:rPr>
        <w:t>11. Évaluation rapide</w:t>
      </w:r>
    </w:p>
    <w:p>
      <w:pPr>
        <w:keepLines/>
      </w:pPr>
      <w:r>
        <w:rPr>
          <w:b w:val="0"/>
          <w:i w:val="0"/>
        </w:rPr>
        <w:t>Faire surligner dans une conclusion une observation, une hypothèse et un moyen de vérification. Évaluer la capacité à changer d'avis quand le contexte apporte un indice nouveau.</w:t>
      </w:r>
    </w:p>
    <w:p>
      <w:pPr>
        <w:pStyle w:val="Heading2"/>
        <w:keepNext/>
        <w:keepLines/>
      </w:pPr>
      <w:r>
        <w:rPr>
          <w:b w:val="0"/>
          <w:i w:val="0"/>
        </w:rPr>
        <w:t>12. Erreurs fréquentes</w:t>
      </w:r>
    </w:p>
    <w:p>
      <w:pPr>
        <w:keepLines/>
        <w:shd w:fill="F7F4EF"/>
        <w:pBdr>
          <w:left w:val="single" w:sz="18" w:space="8" w:color="315F79"/>
        </w:pBdr>
      </w:pPr>
      <w:r>
        <w:rPr>
          <w:b w:val="0"/>
          <w:i w:val="0"/>
        </w:rPr>
        <w:t>Ne pas affirmer qu'un osselet a nécessairement servi à jouer, prédire ou compter. Ne pas annoncer une validation muséale non documentée. Ne pas présenter une adaptation numérique moderne comme reconstitution historique.</w:t>
      </w:r>
    </w:p>
    <w:p>
      <w:pPr>
        <w:pStyle w:val="ListBullet"/>
        <w:keepNext/>
        <w:keepLines/>
      </w:pPr>
      <w:r>
        <w:rPr>
          <w:b w:val="0"/>
          <w:i w:val="0"/>
        </w:rPr>
        <w:t>Nommer l'objet avant de le décrire.</w:t>
      </w:r>
    </w:p>
    <w:p>
      <w:pPr>
        <w:pStyle w:val="ListBullet"/>
        <w:keepNext/>
        <w:keepLines/>
      </w:pPr>
      <w:r>
        <w:rPr>
          <w:b w:val="0"/>
          <w:i w:val="0"/>
        </w:rPr>
        <w:t>Garder une seule hypothèse.</w:t>
      </w:r>
    </w:p>
    <w:p>
      <w:pPr>
        <w:pStyle w:val="ListBullet"/>
        <w:keepNext/>
        <w:keepLines/>
      </w:pPr>
      <w:r>
        <w:rPr>
          <w:b w:val="0"/>
          <w:i w:val="0"/>
        </w:rPr>
        <w:t>Confondre ressemblance et même usage.</w:t>
      </w:r>
    </w:p>
    <w:p>
      <w:pPr>
        <w:pStyle w:val="ListBullet"/>
        <w:keepNext w:val="0"/>
        <w:keepLines/>
      </w:pPr>
      <w:r>
        <w:rPr>
          <w:b w:val="0"/>
          <w:i w:val="0"/>
        </w:rPr>
        <w:t>Ignorer le contexte de découverte.</w:t>
      </w:r>
    </w:p>
    <w:p>
      <w:pPr>
        <w:pStyle w:val="Heading2"/>
        <w:keepNext/>
        <w:keepLines/>
      </w:pPr>
      <w:r>
        <w:rPr>
          <w:b w:val="0"/>
          <w:i w:val="0"/>
        </w:rPr>
        <w:t>13. Sources et limites</w:t>
      </w:r>
    </w:p>
    <w:p>
      <w:pPr>
        <w:keepLines/>
      </w:pPr>
      <w:r>
        <w:rPr>
          <w:b w:val="0"/>
          <w:i w:val="0"/>
        </w:rPr>
        <w:t>Le support transpose une démarche d'enquête archéologique : observation, formulation d'hypothèses, confrontation au contexte et comparaison. Les cinq images du Metropolitan Museum of Art documentées comme provisoires dans la refonte sont exclues des PDF. Le jeu de codage est un prolongement contemporain, non une preuve d'usage antique.</w:t>
      </w:r>
    </w:p>
    <w:p>
      <w:pPr>
        <w:pStyle w:val="Heading2"/>
        <w:keepNext/>
        <w:keepLines/>
      </w:pPr>
      <w:r>
        <w:rPr>
          <w:b w:val="0"/>
          <w:i w:val="0"/>
        </w:rPr>
        <w:t>14. État actuel et validations restantes</w:t>
      </w:r>
    </w:p>
    <w:p>
      <w:pPr>
        <w:keepLines/>
        <w:shd w:fill="F7F4EF"/>
        <w:pBdr>
          <w:left w:val="single" w:sz="18" w:space="8" w:color="315F79"/>
        </w:pBdr>
      </w:pPr>
      <w:r>
        <w:rPr>
          <w:b w:val="0"/>
          <w:i w:val="0"/>
        </w:rPr>
        <w:t>Gabarits et méthode prêts pour un test adulte. Avant une séance élève, intégrer des objets A-E documentés, vérifier notices et droits, établir les informations révélées à chaque étape et faire valider le corpus par les responsables scientifique et muséal.</w:t>
      </w:r>
    </w:p>
    <w:p>
      <w:pPr>
        <w:pStyle w:val="Heading2"/>
        <w:keepNext/>
        <w:keepLines/>
      </w:pPr>
      <w:r>
        <w:rPr>
          <w:b w:val="0"/>
          <w:i w:val="0"/>
        </w:rPr>
        <w:t>Plan d'impression</w:t>
      </w:r>
    </w:p>
    <w:p>
      <w:pPr>
        <w:pStyle w:val="ResourceCredit"/>
        <w:spacing w:before="160"/>
      </w:pPr>
      <w:r>
        <w:rPr>
          <w:b/>
        </w:rPr>
        <w:t xml:space="preserve">Traçabilité : </w:t>
      </w:r>
      <w:hyperlink r:id="rId11">
        <w:r>
          <w:rPr>
            <w:color w:val="315F79"/>
            <w:u w:val="single"/>
          </w:rPr>
          <w:t>https://histoire-d-os.github.io/Histoire-d-os/ressources/activite-04-un-os-plusieurs-vies.html</w:t>
        </w:r>
      </w:hyperlink>
    </w:p>
    <w:sectPr w:rsidR="00FC693F" w:rsidRPr="0006063C" w:rsidSect="00034616">
      <w:headerReference w:type="default" r:id="rId9"/>
      <w:footerReference w:type="default" r:id="rId10"/>
      <w:pgSz w:w="11906" w:h="16838"/>
      <w:pgMar w:top="850" w:right="794" w:bottom="1020" w:left="79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jc w:val="right"/>
    </w:pPr>
    <w:r>
      <w:t xml:space="preserve">Version pilote · Page </w:t>
    </w:r>
    <w:r>
      <w:fldChar w:fldCharType="begin"/>
      <w:instrText xml:space="preserve">PAGE</w:instrText>
      <w:fldChar w:fldCharType="separate"/>
      <w:t>1</w:t>
      <w:fldChar w:fldCharType="end"/>
    </w:r>
    <w: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spacing w:after="0"/>
    </w:pPr>
    <w:r>
      <w:rPr>
        <w:b/>
      </w:rPr>
      <w:t>Histoires 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F25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Georgia" w:hAnsi="Georgia"/>
      <w:b/>
      <w:bCs/>
      <w:color w:val="1F2523"/>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315F7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Georgia" w:hAnsi="Georgia"/>
      <w:b/>
      <w:bCs/>
      <w:color w:val="1F25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Georgia" w:hAnsi="Georgia"/>
      <w:b/>
      <w:color w:val="315F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39" w:hanging="26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39" w:hanging="269"/>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00"/>
    </w:pPr>
    <w:rPr>
      <w:rFonts w:ascii="Arial" w:hAnsi="Arial"/>
      <w:b/>
      <w:bCs/>
      <w:color w:val="56605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Credit">
    <w:name w:val="Resource Credit"/>
    <w:pPr>
      <w:keepLines/>
      <w:spacing w:after="80"/>
    </w:pPr>
    <w:rPr>
      <w:rFonts w:ascii="Arial" w:hAnsi="Arial"/>
      <w:color w:val="5660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istoire-d-os.github.io/Histoire-d-os/ressources/activite-04-un-os-plusieurs-vi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Activité 04 - guide d'encadrement (FR)</dc:title>
  <dc:subject>Ressource pédagogique pilote sur le talus/astragale</dc:subject>
  <dc:creator>Histoires d'os</dc:creator>
  <cp:keywords>Histoires d'os, talus, astragale, fr, Activité 04</cp:keywords>
  <dc:description>generated by python-docx</dc:description>
  <cp:lastModifiedBy/>
  <cp:revision>1</cp:revision>
  <dcterms:created xsi:type="dcterms:W3CDTF">2013-12-23T23:15:00Z</dcterms:created>
  <dcterms:modified xsi:type="dcterms:W3CDTF">2013-12-23T23:15:00Z</dcterms:modified>
  <cp:category/>
</cp:coreProperties>
</file>